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AF" w:rsidRDefault="00490EAF" w:rsidP="00490EAF"/>
    <w:p w:rsidR="00490EAF" w:rsidRDefault="00490EAF" w:rsidP="00490EAF"/>
    <w:p w:rsidR="00490EAF" w:rsidRDefault="00490EAF" w:rsidP="00490EAF">
      <w:r w:rsidRPr="00490EAF">
        <w:rPr>
          <w:noProof/>
        </w:rPr>
        <w:drawing>
          <wp:inline distT="0" distB="0" distL="0" distR="0">
            <wp:extent cx="5521577" cy="2745441"/>
            <wp:effectExtent l="19050" t="0" r="2197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22FFF" w:rsidRDefault="00522FFF" w:rsidP="00490EAF"/>
    <w:p w:rsidR="00522FFF" w:rsidRDefault="00610DA0" w:rsidP="00490EAF">
      <w:r>
        <w:t>Figure</w:t>
      </w:r>
      <w:r w:rsidR="003D2687">
        <w:t xml:space="preserve"> 1</w:t>
      </w:r>
      <w:r>
        <w:t xml:space="preserve">: </w:t>
      </w:r>
      <w:proofErr w:type="spellStart"/>
      <w:r>
        <w:t>Bedload</w:t>
      </w:r>
      <w:proofErr w:type="spellEnd"/>
      <w:r>
        <w:t xml:space="preserve"> rating curves for each redd site.</w:t>
      </w:r>
    </w:p>
    <w:p w:rsidR="00610DA0" w:rsidRDefault="00610DA0" w:rsidP="00490EAF"/>
    <w:p w:rsidR="00610DA0" w:rsidRDefault="00610DA0">
      <w:pPr>
        <w:spacing w:after="200" w:line="276" w:lineRule="auto"/>
      </w:pPr>
      <w:r>
        <w:br w:type="page"/>
      </w:r>
    </w:p>
    <w:p w:rsidR="00610DA0" w:rsidRDefault="00610DA0" w:rsidP="00490EAF">
      <w:r w:rsidRPr="00610DA0">
        <w:rPr>
          <w:noProof/>
        </w:rPr>
        <w:lastRenderedPageBreak/>
        <w:drawing>
          <wp:inline distT="0" distB="0" distL="0" distR="0">
            <wp:extent cx="382905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0DA0" w:rsidRDefault="00610DA0" w:rsidP="00490EAF">
      <w:r>
        <w:t>Figure: Amount of accumulated sediment &lt;6.35mm in diameter at each redd site on December 12, 2011. Note: Sediment bags were installed on November 3, 2011.</w:t>
      </w:r>
    </w:p>
    <w:p w:rsidR="00552198" w:rsidRDefault="00552198"/>
    <w:p w:rsidR="00610DA0" w:rsidRDefault="005471EF">
      <w:r w:rsidRPr="005471EF">
        <w:rPr>
          <w:noProof/>
        </w:rPr>
        <w:drawing>
          <wp:inline distT="0" distB="0" distL="0" distR="0">
            <wp:extent cx="3829050" cy="27432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0DA0" w:rsidRDefault="00610DA0" w:rsidP="00610DA0">
      <w:r>
        <w:t>Figure: Accumulated sediment &lt;6.35mm in diameter as a percentage of the total sediment sampled in the sediment bag at each redd site on December 12, 2011. Note: Sediment bags were installed on November 3, 2011.</w:t>
      </w:r>
    </w:p>
    <w:p w:rsidR="005471EF" w:rsidRDefault="005471EF" w:rsidP="00610DA0">
      <w:r w:rsidRPr="005471EF">
        <w:rPr>
          <w:noProof/>
        </w:rPr>
        <w:lastRenderedPageBreak/>
        <w:drawing>
          <wp:inline distT="0" distB="0" distL="0" distR="0">
            <wp:extent cx="3829050" cy="27432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71EF" w:rsidRDefault="005471EF" w:rsidP="00610DA0">
      <w:r>
        <w:t>Figure: Percentage of bedload that accumulated in the redd sediment by December 12, 2011, where the total bedload transported over the redd per foot width as computed using the power functions derived from the bedload rating curves at each site (see Figure above). Note: the excessive amount of sediment “captured” in the sediment bag at Site 3 suggests poor cleansing during installation or non-bedload produced deposition.</w:t>
      </w:r>
    </w:p>
    <w:p w:rsidR="00610DA0" w:rsidRDefault="00610DA0" w:rsidP="00610DA0"/>
    <w:p w:rsidR="00610DA0" w:rsidRDefault="00610DA0" w:rsidP="00610DA0">
      <w:r w:rsidRPr="00610DA0">
        <w:rPr>
          <w:noProof/>
        </w:rPr>
        <w:drawing>
          <wp:inline distT="0" distB="0" distL="0" distR="0">
            <wp:extent cx="382905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0DA0" w:rsidRDefault="00610DA0" w:rsidP="00610DA0">
      <w:r>
        <w:t>Figure: Amount of accumulated sediment &lt;6.35mm in diameter at each redd site on March 26, 2012. The sediment bag and other infrastructure were missing at Redd 1. Note: Sediment bags were installed on November 3, 2011.</w:t>
      </w:r>
    </w:p>
    <w:p w:rsidR="00610DA0" w:rsidRDefault="00610DA0"/>
    <w:p w:rsidR="00610DA0" w:rsidRDefault="005471EF">
      <w:r w:rsidRPr="005471EF">
        <w:rPr>
          <w:noProof/>
        </w:rPr>
        <w:lastRenderedPageBreak/>
        <w:drawing>
          <wp:inline distT="0" distB="0" distL="0" distR="0">
            <wp:extent cx="3829050" cy="27432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0DA0" w:rsidRDefault="00610DA0">
      <w:r>
        <w:t>Figure: Accumulated sediment &lt;6.35mm in diameter as a percentage of the total sediment sampled in the sediment bag at Redd Sites 2 through 5 on March 26, 2012. The sediment bag and other infrastructure were missing at Redd 1. Note: Sediment bags were installed on November 3, 2011.</w:t>
      </w:r>
    </w:p>
    <w:p w:rsidR="005471EF" w:rsidRDefault="005471EF"/>
    <w:p w:rsidR="005471EF" w:rsidRDefault="005471EF">
      <w:r w:rsidRPr="005471EF">
        <w:rPr>
          <w:noProof/>
        </w:rPr>
        <w:drawing>
          <wp:inline distT="0" distB="0" distL="0" distR="0">
            <wp:extent cx="3829050" cy="27432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1EF" w:rsidRDefault="005471EF" w:rsidP="005471EF">
      <w:r>
        <w:t xml:space="preserve">Figure: Percentage of bedload that accumulated in the redd sediment by March 26, 2012, where the total bedload transported over the redd per foot width as computed using the power functions derived from the bedload rating curves at each site (see Figure above). </w:t>
      </w:r>
    </w:p>
    <w:p w:rsidR="00610DA0" w:rsidRDefault="00610DA0"/>
    <w:p w:rsidR="00610DA0" w:rsidRDefault="00610DA0" w:rsidP="00610DA0">
      <w:r w:rsidRPr="00610DA0">
        <w:rPr>
          <w:noProof/>
        </w:rPr>
        <w:lastRenderedPageBreak/>
        <w:drawing>
          <wp:inline distT="0" distB="0" distL="0" distR="0">
            <wp:extent cx="382905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0DA0" w:rsidRDefault="00610DA0" w:rsidP="00610DA0">
      <w:r>
        <w:t>Figure: Amount of accumulated sediment &lt;6.35mm in diameter at each redd site on April 30, 2012</w:t>
      </w:r>
      <w:r w:rsidR="00106EC9">
        <w:t>.</w:t>
      </w:r>
      <w:r>
        <w:t xml:space="preserve"> Note: Sediment bags were installed on March 29, 2012.</w:t>
      </w:r>
    </w:p>
    <w:p w:rsidR="00610DA0" w:rsidRDefault="00610DA0" w:rsidP="00610DA0"/>
    <w:p w:rsidR="00610DA0" w:rsidRDefault="005471EF" w:rsidP="00610DA0">
      <w:r w:rsidRPr="005471EF">
        <w:rPr>
          <w:noProof/>
        </w:rPr>
        <w:drawing>
          <wp:inline distT="0" distB="0" distL="0" distR="0">
            <wp:extent cx="3829050" cy="27432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0DA0" w:rsidRDefault="00610DA0" w:rsidP="00610DA0">
      <w:r>
        <w:t>Figure: Accumulated sediment &lt;6.35mm in diameter as a percentage of the total sediment sampled in the sediment bag at each redd site on April 30, 2012. Note: Sediment bags were installed on March 29, 2012.</w:t>
      </w:r>
    </w:p>
    <w:p w:rsidR="005471EF" w:rsidRDefault="005471EF" w:rsidP="00610DA0"/>
    <w:p w:rsidR="005471EF" w:rsidRDefault="005471EF" w:rsidP="005471EF">
      <w:r w:rsidRPr="005471EF">
        <w:rPr>
          <w:noProof/>
        </w:rPr>
        <w:lastRenderedPageBreak/>
        <w:drawing>
          <wp:inline distT="0" distB="0" distL="0" distR="0">
            <wp:extent cx="3829050" cy="27432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71EF" w:rsidRDefault="005471EF" w:rsidP="005471EF">
      <w:r>
        <w:t xml:space="preserve">Figure: Percentage of bedload that accumulated in the redd sediment by April 30, 2012, where the total bedload transported over the redd per foot width as computed using the power functions derived from the bedload rating curves at each site (see Figure above). </w:t>
      </w:r>
    </w:p>
    <w:p w:rsidR="005471EF" w:rsidRDefault="005471EF" w:rsidP="00610DA0"/>
    <w:p w:rsidR="00610DA0" w:rsidRDefault="00106EC9">
      <w:r w:rsidRPr="00106EC9">
        <w:rPr>
          <w:noProof/>
        </w:rPr>
        <w:drawing>
          <wp:inline distT="0" distB="0" distL="0" distR="0">
            <wp:extent cx="382905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6EC9" w:rsidRDefault="00106EC9" w:rsidP="00106EC9">
      <w:r>
        <w:t>Figure: Amount of accumulated sediment &lt;6.35mm in diameter at each redd site on May 30, 2012. Note: Sediment bags were installed on March 29, 2012.</w:t>
      </w:r>
    </w:p>
    <w:p w:rsidR="00106EC9" w:rsidRDefault="00106EC9"/>
    <w:p w:rsidR="00106EC9" w:rsidRDefault="005471EF">
      <w:r w:rsidRPr="005471EF">
        <w:rPr>
          <w:noProof/>
        </w:rPr>
        <w:lastRenderedPageBreak/>
        <w:drawing>
          <wp:inline distT="0" distB="0" distL="0" distR="0">
            <wp:extent cx="382905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71EF" w:rsidRDefault="00106EC9" w:rsidP="00106EC9">
      <w:r>
        <w:t>Figure: Accumulated sediment &lt;6.35mm in diameter as a percentage of the total sediment sampled in the sediment bag at each redd site on May 30, 2012. Note: Sediment bags were installed on March 29, 2012.</w:t>
      </w:r>
    </w:p>
    <w:p w:rsidR="005471EF" w:rsidRDefault="005471EF" w:rsidP="00106EC9"/>
    <w:p w:rsidR="005471EF" w:rsidRDefault="005471EF" w:rsidP="00106EC9">
      <w:r w:rsidRPr="005471EF">
        <w:rPr>
          <w:noProof/>
        </w:rPr>
        <w:drawing>
          <wp:inline distT="0" distB="0" distL="0" distR="0">
            <wp:extent cx="3829050" cy="27432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71EF" w:rsidRDefault="005471EF" w:rsidP="005471EF">
      <w:r>
        <w:t xml:space="preserve">Figure: Percentage of bedload that accumulated in the redd sediment </w:t>
      </w:r>
      <w:r w:rsidR="00C261B4">
        <w:t xml:space="preserve">by May 30, 2012, </w:t>
      </w:r>
      <w:r>
        <w:t xml:space="preserve">where the total bedload transported over the redd per foot width as computed using the power functions derived from the bedload rating curves at each site (see Figure above). </w:t>
      </w:r>
    </w:p>
    <w:p w:rsidR="00106EC9" w:rsidRPr="00106EC9" w:rsidRDefault="00106EC9" w:rsidP="005471EF"/>
    <w:sectPr w:rsidR="00106EC9" w:rsidRPr="00106EC9" w:rsidSect="00552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77F"/>
    <w:multiLevelType w:val="hybridMultilevel"/>
    <w:tmpl w:val="6B24B9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rsids>
    <w:rsidRoot w:val="004E6395"/>
    <w:rsid w:val="000021BE"/>
    <w:rsid w:val="0000692C"/>
    <w:rsid w:val="00007271"/>
    <w:rsid w:val="000213C7"/>
    <w:rsid w:val="0004590F"/>
    <w:rsid w:val="000504C1"/>
    <w:rsid w:val="00056CF8"/>
    <w:rsid w:val="00057769"/>
    <w:rsid w:val="00062F2A"/>
    <w:rsid w:val="000735E2"/>
    <w:rsid w:val="00077901"/>
    <w:rsid w:val="00090E15"/>
    <w:rsid w:val="00095430"/>
    <w:rsid w:val="000A0EC8"/>
    <w:rsid w:val="000A3C6E"/>
    <w:rsid w:val="000B087D"/>
    <w:rsid w:val="000C38D9"/>
    <w:rsid w:val="000D2A63"/>
    <w:rsid w:val="000D412C"/>
    <w:rsid w:val="000E144A"/>
    <w:rsid w:val="000E4594"/>
    <w:rsid w:val="000E589D"/>
    <w:rsid w:val="000E5B3A"/>
    <w:rsid w:val="000E5E78"/>
    <w:rsid w:val="000E7874"/>
    <w:rsid w:val="00106EC9"/>
    <w:rsid w:val="0010734A"/>
    <w:rsid w:val="00107BCE"/>
    <w:rsid w:val="001105E0"/>
    <w:rsid w:val="00111917"/>
    <w:rsid w:val="00112ABD"/>
    <w:rsid w:val="001170D9"/>
    <w:rsid w:val="00120CDA"/>
    <w:rsid w:val="00124790"/>
    <w:rsid w:val="00150CAB"/>
    <w:rsid w:val="00150E6E"/>
    <w:rsid w:val="0016659F"/>
    <w:rsid w:val="001724E2"/>
    <w:rsid w:val="00177404"/>
    <w:rsid w:val="00185759"/>
    <w:rsid w:val="001863B4"/>
    <w:rsid w:val="00196745"/>
    <w:rsid w:val="00197ABA"/>
    <w:rsid w:val="001A7A62"/>
    <w:rsid w:val="001B1A1E"/>
    <w:rsid w:val="001B21CC"/>
    <w:rsid w:val="001B2ECF"/>
    <w:rsid w:val="001C21E0"/>
    <w:rsid w:val="001D2245"/>
    <w:rsid w:val="001D37F4"/>
    <w:rsid w:val="001E035D"/>
    <w:rsid w:val="00206DFD"/>
    <w:rsid w:val="00207C11"/>
    <w:rsid w:val="00212C93"/>
    <w:rsid w:val="002138BE"/>
    <w:rsid w:val="00223BDC"/>
    <w:rsid w:val="00224492"/>
    <w:rsid w:val="00232841"/>
    <w:rsid w:val="00234DC1"/>
    <w:rsid w:val="002360DE"/>
    <w:rsid w:val="00240A98"/>
    <w:rsid w:val="00240F5A"/>
    <w:rsid w:val="00243995"/>
    <w:rsid w:val="002462A4"/>
    <w:rsid w:val="0025003A"/>
    <w:rsid w:val="0025030A"/>
    <w:rsid w:val="00252F63"/>
    <w:rsid w:val="0025555E"/>
    <w:rsid w:val="00256E9D"/>
    <w:rsid w:val="002647FD"/>
    <w:rsid w:val="002651C0"/>
    <w:rsid w:val="002653C4"/>
    <w:rsid w:val="00284544"/>
    <w:rsid w:val="0028479B"/>
    <w:rsid w:val="002905F4"/>
    <w:rsid w:val="00292A35"/>
    <w:rsid w:val="00296066"/>
    <w:rsid w:val="002A2301"/>
    <w:rsid w:val="002A3A18"/>
    <w:rsid w:val="002B11C7"/>
    <w:rsid w:val="002B55D3"/>
    <w:rsid w:val="002C27DE"/>
    <w:rsid w:val="002C735F"/>
    <w:rsid w:val="002D17FC"/>
    <w:rsid w:val="002D3A8D"/>
    <w:rsid w:val="002D525A"/>
    <w:rsid w:val="002E0D6E"/>
    <w:rsid w:val="002E34CD"/>
    <w:rsid w:val="002F3467"/>
    <w:rsid w:val="002F4204"/>
    <w:rsid w:val="002F4DCD"/>
    <w:rsid w:val="00305DA7"/>
    <w:rsid w:val="00330C14"/>
    <w:rsid w:val="00331BCB"/>
    <w:rsid w:val="00333860"/>
    <w:rsid w:val="00345E46"/>
    <w:rsid w:val="00351C4A"/>
    <w:rsid w:val="0035316F"/>
    <w:rsid w:val="00353BDC"/>
    <w:rsid w:val="003548A5"/>
    <w:rsid w:val="00360351"/>
    <w:rsid w:val="003654AB"/>
    <w:rsid w:val="003730F5"/>
    <w:rsid w:val="00375F39"/>
    <w:rsid w:val="00383487"/>
    <w:rsid w:val="00390282"/>
    <w:rsid w:val="003943E5"/>
    <w:rsid w:val="003945B3"/>
    <w:rsid w:val="003A143B"/>
    <w:rsid w:val="003A385A"/>
    <w:rsid w:val="003A3864"/>
    <w:rsid w:val="003B01A1"/>
    <w:rsid w:val="003B6FB2"/>
    <w:rsid w:val="003B71BD"/>
    <w:rsid w:val="003C5CAD"/>
    <w:rsid w:val="003D2224"/>
    <w:rsid w:val="003D2687"/>
    <w:rsid w:val="003E648A"/>
    <w:rsid w:val="003E792A"/>
    <w:rsid w:val="003F4381"/>
    <w:rsid w:val="00400386"/>
    <w:rsid w:val="0040151D"/>
    <w:rsid w:val="00401C4E"/>
    <w:rsid w:val="004032FD"/>
    <w:rsid w:val="004040EE"/>
    <w:rsid w:val="00407E8B"/>
    <w:rsid w:val="00411213"/>
    <w:rsid w:val="00413C5A"/>
    <w:rsid w:val="00420780"/>
    <w:rsid w:val="0042193E"/>
    <w:rsid w:val="0042463D"/>
    <w:rsid w:val="004247C4"/>
    <w:rsid w:val="00431C86"/>
    <w:rsid w:val="004344BF"/>
    <w:rsid w:val="00441834"/>
    <w:rsid w:val="00441951"/>
    <w:rsid w:val="004437FA"/>
    <w:rsid w:val="00451CE2"/>
    <w:rsid w:val="004552BE"/>
    <w:rsid w:val="004561C2"/>
    <w:rsid w:val="00465125"/>
    <w:rsid w:val="0047418D"/>
    <w:rsid w:val="00490EAF"/>
    <w:rsid w:val="00492B7D"/>
    <w:rsid w:val="0049450E"/>
    <w:rsid w:val="004A1467"/>
    <w:rsid w:val="004B5802"/>
    <w:rsid w:val="004B63A0"/>
    <w:rsid w:val="004C4F1C"/>
    <w:rsid w:val="004D466C"/>
    <w:rsid w:val="004D6BA8"/>
    <w:rsid w:val="004E55F3"/>
    <w:rsid w:val="004E5D07"/>
    <w:rsid w:val="004E6395"/>
    <w:rsid w:val="00500042"/>
    <w:rsid w:val="00501A85"/>
    <w:rsid w:val="00507034"/>
    <w:rsid w:val="005070CE"/>
    <w:rsid w:val="00522FFF"/>
    <w:rsid w:val="005231D2"/>
    <w:rsid w:val="005308E0"/>
    <w:rsid w:val="0053233B"/>
    <w:rsid w:val="00532776"/>
    <w:rsid w:val="00534291"/>
    <w:rsid w:val="00542EC3"/>
    <w:rsid w:val="005471EF"/>
    <w:rsid w:val="00552198"/>
    <w:rsid w:val="00553C56"/>
    <w:rsid w:val="00576DC3"/>
    <w:rsid w:val="00580FAF"/>
    <w:rsid w:val="00582121"/>
    <w:rsid w:val="005904E3"/>
    <w:rsid w:val="00594115"/>
    <w:rsid w:val="005A4E7A"/>
    <w:rsid w:val="005A505C"/>
    <w:rsid w:val="005A76EA"/>
    <w:rsid w:val="005B6BD3"/>
    <w:rsid w:val="005C01B9"/>
    <w:rsid w:val="005C45A7"/>
    <w:rsid w:val="005C7551"/>
    <w:rsid w:val="005D233C"/>
    <w:rsid w:val="005E36D5"/>
    <w:rsid w:val="005E7119"/>
    <w:rsid w:val="00610DA0"/>
    <w:rsid w:val="006122CD"/>
    <w:rsid w:val="00615FD3"/>
    <w:rsid w:val="0062155D"/>
    <w:rsid w:val="00650B9D"/>
    <w:rsid w:val="0065333F"/>
    <w:rsid w:val="00694EF3"/>
    <w:rsid w:val="006B2749"/>
    <w:rsid w:val="006C3134"/>
    <w:rsid w:val="006C4F82"/>
    <w:rsid w:val="006D04FA"/>
    <w:rsid w:val="006E1615"/>
    <w:rsid w:val="006F0589"/>
    <w:rsid w:val="006F4375"/>
    <w:rsid w:val="006F45B6"/>
    <w:rsid w:val="00712932"/>
    <w:rsid w:val="00720133"/>
    <w:rsid w:val="0072246F"/>
    <w:rsid w:val="00730D54"/>
    <w:rsid w:val="007327A5"/>
    <w:rsid w:val="007336F9"/>
    <w:rsid w:val="007424BB"/>
    <w:rsid w:val="007433B8"/>
    <w:rsid w:val="00744023"/>
    <w:rsid w:val="007501AB"/>
    <w:rsid w:val="00753107"/>
    <w:rsid w:val="00776126"/>
    <w:rsid w:val="007906AE"/>
    <w:rsid w:val="00792254"/>
    <w:rsid w:val="007A0490"/>
    <w:rsid w:val="007B1545"/>
    <w:rsid w:val="007B296C"/>
    <w:rsid w:val="007B34CA"/>
    <w:rsid w:val="007C43B2"/>
    <w:rsid w:val="007C44AD"/>
    <w:rsid w:val="007C48EF"/>
    <w:rsid w:val="007D2A5D"/>
    <w:rsid w:val="007D4F30"/>
    <w:rsid w:val="007E731F"/>
    <w:rsid w:val="00803118"/>
    <w:rsid w:val="00815248"/>
    <w:rsid w:val="008245F5"/>
    <w:rsid w:val="008247FB"/>
    <w:rsid w:val="008329E1"/>
    <w:rsid w:val="008424F5"/>
    <w:rsid w:val="00842E6D"/>
    <w:rsid w:val="008551B5"/>
    <w:rsid w:val="008554BF"/>
    <w:rsid w:val="008572D9"/>
    <w:rsid w:val="0088078B"/>
    <w:rsid w:val="00881E6B"/>
    <w:rsid w:val="0088367A"/>
    <w:rsid w:val="008A0F99"/>
    <w:rsid w:val="008A16A1"/>
    <w:rsid w:val="008C3776"/>
    <w:rsid w:val="008C6AD6"/>
    <w:rsid w:val="008D3F65"/>
    <w:rsid w:val="008D4305"/>
    <w:rsid w:val="008D664B"/>
    <w:rsid w:val="008F096A"/>
    <w:rsid w:val="00901020"/>
    <w:rsid w:val="00904469"/>
    <w:rsid w:val="00904673"/>
    <w:rsid w:val="009134BE"/>
    <w:rsid w:val="00924355"/>
    <w:rsid w:val="009350DE"/>
    <w:rsid w:val="00941F25"/>
    <w:rsid w:val="00961EDE"/>
    <w:rsid w:val="0096629B"/>
    <w:rsid w:val="009664D9"/>
    <w:rsid w:val="00970090"/>
    <w:rsid w:val="00971C4A"/>
    <w:rsid w:val="00972693"/>
    <w:rsid w:val="00987380"/>
    <w:rsid w:val="00996542"/>
    <w:rsid w:val="009B03E9"/>
    <w:rsid w:val="009B0CED"/>
    <w:rsid w:val="009C01AB"/>
    <w:rsid w:val="009C729C"/>
    <w:rsid w:val="009D7A80"/>
    <w:rsid w:val="009E1189"/>
    <w:rsid w:val="009E3D09"/>
    <w:rsid w:val="009F370B"/>
    <w:rsid w:val="009F3FC3"/>
    <w:rsid w:val="009F5413"/>
    <w:rsid w:val="00A05C93"/>
    <w:rsid w:val="00A07998"/>
    <w:rsid w:val="00A12061"/>
    <w:rsid w:val="00A15DD7"/>
    <w:rsid w:val="00A16A63"/>
    <w:rsid w:val="00A26773"/>
    <w:rsid w:val="00A31B87"/>
    <w:rsid w:val="00A3201A"/>
    <w:rsid w:val="00A34DCD"/>
    <w:rsid w:val="00A358A0"/>
    <w:rsid w:val="00A46AEE"/>
    <w:rsid w:val="00A61515"/>
    <w:rsid w:val="00A901BF"/>
    <w:rsid w:val="00A925CE"/>
    <w:rsid w:val="00AA2877"/>
    <w:rsid w:val="00AA4071"/>
    <w:rsid w:val="00AB3E9D"/>
    <w:rsid w:val="00AC0D4F"/>
    <w:rsid w:val="00AC6CD3"/>
    <w:rsid w:val="00AD059A"/>
    <w:rsid w:val="00AD190F"/>
    <w:rsid w:val="00AD74CE"/>
    <w:rsid w:val="00AF003F"/>
    <w:rsid w:val="00AF573C"/>
    <w:rsid w:val="00AF60B8"/>
    <w:rsid w:val="00B04D39"/>
    <w:rsid w:val="00B25499"/>
    <w:rsid w:val="00B26A45"/>
    <w:rsid w:val="00B41C1F"/>
    <w:rsid w:val="00B427CC"/>
    <w:rsid w:val="00B42B89"/>
    <w:rsid w:val="00B45E82"/>
    <w:rsid w:val="00B46D1E"/>
    <w:rsid w:val="00B47C5C"/>
    <w:rsid w:val="00B47D0E"/>
    <w:rsid w:val="00B54BE1"/>
    <w:rsid w:val="00B6139A"/>
    <w:rsid w:val="00B6352F"/>
    <w:rsid w:val="00B65AE8"/>
    <w:rsid w:val="00B73783"/>
    <w:rsid w:val="00B74949"/>
    <w:rsid w:val="00B8181E"/>
    <w:rsid w:val="00B92927"/>
    <w:rsid w:val="00B97622"/>
    <w:rsid w:val="00B97780"/>
    <w:rsid w:val="00BA3DFA"/>
    <w:rsid w:val="00BA7226"/>
    <w:rsid w:val="00BB7E17"/>
    <w:rsid w:val="00BC465F"/>
    <w:rsid w:val="00BC5B8D"/>
    <w:rsid w:val="00BD0AF7"/>
    <w:rsid w:val="00BD5BE4"/>
    <w:rsid w:val="00BE3ADB"/>
    <w:rsid w:val="00BF26EC"/>
    <w:rsid w:val="00C140C0"/>
    <w:rsid w:val="00C241C1"/>
    <w:rsid w:val="00C24E17"/>
    <w:rsid w:val="00C261B4"/>
    <w:rsid w:val="00C261B9"/>
    <w:rsid w:val="00C31486"/>
    <w:rsid w:val="00C46111"/>
    <w:rsid w:val="00C7021C"/>
    <w:rsid w:val="00C71592"/>
    <w:rsid w:val="00C773E1"/>
    <w:rsid w:val="00C861EE"/>
    <w:rsid w:val="00CA0FA0"/>
    <w:rsid w:val="00CA2DE2"/>
    <w:rsid w:val="00CA68D3"/>
    <w:rsid w:val="00CB2C34"/>
    <w:rsid w:val="00CB2CD2"/>
    <w:rsid w:val="00CB53F7"/>
    <w:rsid w:val="00CE0073"/>
    <w:rsid w:val="00CE15AC"/>
    <w:rsid w:val="00CE621D"/>
    <w:rsid w:val="00CF6CFC"/>
    <w:rsid w:val="00D014A4"/>
    <w:rsid w:val="00D052C1"/>
    <w:rsid w:val="00D12DC2"/>
    <w:rsid w:val="00D145C2"/>
    <w:rsid w:val="00D171D7"/>
    <w:rsid w:val="00D259DD"/>
    <w:rsid w:val="00D2623A"/>
    <w:rsid w:val="00D368EA"/>
    <w:rsid w:val="00D4108E"/>
    <w:rsid w:val="00D41928"/>
    <w:rsid w:val="00D44272"/>
    <w:rsid w:val="00D46C8D"/>
    <w:rsid w:val="00D511E0"/>
    <w:rsid w:val="00D530BA"/>
    <w:rsid w:val="00D546E5"/>
    <w:rsid w:val="00D71071"/>
    <w:rsid w:val="00D718B7"/>
    <w:rsid w:val="00D75654"/>
    <w:rsid w:val="00D93096"/>
    <w:rsid w:val="00D93E43"/>
    <w:rsid w:val="00D96D00"/>
    <w:rsid w:val="00DA1304"/>
    <w:rsid w:val="00DB328E"/>
    <w:rsid w:val="00DC3D89"/>
    <w:rsid w:val="00DC7570"/>
    <w:rsid w:val="00DE3379"/>
    <w:rsid w:val="00E05DF6"/>
    <w:rsid w:val="00E12942"/>
    <w:rsid w:val="00E178D6"/>
    <w:rsid w:val="00E3799D"/>
    <w:rsid w:val="00E41567"/>
    <w:rsid w:val="00E422FF"/>
    <w:rsid w:val="00E46706"/>
    <w:rsid w:val="00E5602A"/>
    <w:rsid w:val="00E56C02"/>
    <w:rsid w:val="00E74053"/>
    <w:rsid w:val="00E77030"/>
    <w:rsid w:val="00E83C15"/>
    <w:rsid w:val="00E865F0"/>
    <w:rsid w:val="00E92A72"/>
    <w:rsid w:val="00E93760"/>
    <w:rsid w:val="00E95BB6"/>
    <w:rsid w:val="00E96A85"/>
    <w:rsid w:val="00EB4DD1"/>
    <w:rsid w:val="00EC27DD"/>
    <w:rsid w:val="00EC3361"/>
    <w:rsid w:val="00EC390B"/>
    <w:rsid w:val="00ED531B"/>
    <w:rsid w:val="00EE1227"/>
    <w:rsid w:val="00EE43EB"/>
    <w:rsid w:val="00EE4E2A"/>
    <w:rsid w:val="00EE75CA"/>
    <w:rsid w:val="00EE7CBE"/>
    <w:rsid w:val="00EF09FF"/>
    <w:rsid w:val="00EF1E4C"/>
    <w:rsid w:val="00EF40F8"/>
    <w:rsid w:val="00EF600B"/>
    <w:rsid w:val="00F14781"/>
    <w:rsid w:val="00F2063B"/>
    <w:rsid w:val="00F214D8"/>
    <w:rsid w:val="00F27619"/>
    <w:rsid w:val="00F3663A"/>
    <w:rsid w:val="00F601D8"/>
    <w:rsid w:val="00F60FA6"/>
    <w:rsid w:val="00F63A6C"/>
    <w:rsid w:val="00F67C96"/>
    <w:rsid w:val="00F7149A"/>
    <w:rsid w:val="00F754C9"/>
    <w:rsid w:val="00F760A7"/>
    <w:rsid w:val="00FA12A6"/>
    <w:rsid w:val="00FB76D9"/>
    <w:rsid w:val="00FC1EC9"/>
    <w:rsid w:val="00FC4AF5"/>
    <w:rsid w:val="00FE1A3C"/>
    <w:rsid w:val="00FF28C5"/>
    <w:rsid w:val="00FF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95"/>
    <w:pPr>
      <w:ind w:left="720"/>
    </w:pPr>
  </w:style>
  <w:style w:type="paragraph" w:styleId="BalloonText">
    <w:name w:val="Balloon Text"/>
    <w:basedOn w:val="Normal"/>
    <w:link w:val="BalloonTextChar"/>
    <w:uiPriority w:val="99"/>
    <w:semiHidden/>
    <w:unhideWhenUsed/>
    <w:rsid w:val="00490EAF"/>
    <w:rPr>
      <w:rFonts w:ascii="Tahoma" w:hAnsi="Tahoma" w:cs="Tahoma"/>
      <w:sz w:val="16"/>
      <w:szCs w:val="16"/>
    </w:rPr>
  </w:style>
  <w:style w:type="character" w:customStyle="1" w:styleId="BalloonTextChar">
    <w:name w:val="Balloon Text Char"/>
    <w:basedOn w:val="DefaultParagraphFont"/>
    <w:link w:val="BalloonText"/>
    <w:uiPriority w:val="99"/>
    <w:semiHidden/>
    <w:rsid w:val="00490EAF"/>
    <w:rPr>
      <w:rFonts w:ascii="Tahoma" w:hAnsi="Tahoma" w:cs="Tahoma"/>
      <w:sz w:val="16"/>
      <w:szCs w:val="16"/>
    </w:rPr>
  </w:style>
  <w:style w:type="character" w:styleId="CommentReference">
    <w:name w:val="annotation reference"/>
    <w:basedOn w:val="DefaultParagraphFont"/>
    <w:uiPriority w:val="99"/>
    <w:semiHidden/>
    <w:unhideWhenUsed/>
    <w:rsid w:val="002D17FC"/>
    <w:rPr>
      <w:sz w:val="16"/>
      <w:szCs w:val="16"/>
    </w:rPr>
  </w:style>
  <w:style w:type="paragraph" w:styleId="CommentText">
    <w:name w:val="annotation text"/>
    <w:basedOn w:val="Normal"/>
    <w:link w:val="CommentTextChar"/>
    <w:uiPriority w:val="99"/>
    <w:semiHidden/>
    <w:unhideWhenUsed/>
    <w:rsid w:val="002D17FC"/>
    <w:rPr>
      <w:sz w:val="20"/>
      <w:szCs w:val="20"/>
    </w:rPr>
  </w:style>
  <w:style w:type="character" w:customStyle="1" w:styleId="CommentTextChar">
    <w:name w:val="Comment Text Char"/>
    <w:basedOn w:val="DefaultParagraphFont"/>
    <w:link w:val="CommentText"/>
    <w:uiPriority w:val="99"/>
    <w:semiHidden/>
    <w:rsid w:val="002D17F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17FC"/>
    <w:rPr>
      <w:b/>
      <w:bCs/>
    </w:rPr>
  </w:style>
  <w:style w:type="character" w:customStyle="1" w:styleId="CommentSubjectChar">
    <w:name w:val="Comment Subject Char"/>
    <w:basedOn w:val="CommentTextChar"/>
    <w:link w:val="CommentSubject"/>
    <w:uiPriority w:val="99"/>
    <w:semiHidden/>
    <w:rsid w:val="002D17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G:\Combined\Data\Field\Artificial%20Redd%20Exp\Sediment\Bedload\ArtificialReddBedloadSampleData_WY20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Combined\Data\Field\Artificial%20Redd%20Exp\Sediment\Sediment%20Bag%20Samples\Bulk%20Sieve%20Analysis%20Results%20-%20RED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Unit Bedload</a:t>
            </a:r>
            <a:r>
              <a:rPr lang="en-US" baseline="0"/>
              <a:t> Transport Rating Curves</a:t>
            </a:r>
            <a:endParaRPr lang="en-US"/>
          </a:p>
        </c:rich>
      </c:tx>
      <c:layout/>
    </c:title>
    <c:plotArea>
      <c:layout>
        <c:manualLayout>
          <c:layoutTarget val="inner"/>
          <c:xMode val="edge"/>
          <c:yMode val="edge"/>
          <c:x val="0.13307230887117941"/>
          <c:y val="0.19464450337850991"/>
          <c:w val="0.59237551156128065"/>
          <c:h val="0.59137894422061832"/>
        </c:manualLayout>
      </c:layout>
      <c:scatterChart>
        <c:scatterStyle val="lineMarker"/>
        <c:ser>
          <c:idx val="0"/>
          <c:order val="0"/>
          <c:tx>
            <c:v>Redd 1</c:v>
          </c:tx>
          <c:spPr>
            <a:ln w="28575">
              <a:noFill/>
            </a:ln>
          </c:spPr>
          <c:marker>
            <c:symbol val="square"/>
            <c:size val="4"/>
            <c:spPr>
              <a:solidFill>
                <a:srgbClr val="0070C0"/>
              </a:solidFill>
              <a:ln>
                <a:solidFill>
                  <a:srgbClr val="0070C0"/>
                </a:solidFill>
              </a:ln>
            </c:spPr>
          </c:marker>
          <c:trendline>
            <c:spPr>
              <a:ln>
                <a:solidFill>
                  <a:srgbClr val="0070C0"/>
                </a:solidFill>
              </a:ln>
            </c:spPr>
            <c:trendlineType val="power"/>
            <c:dispRSqr val="1"/>
            <c:dispEq val="1"/>
            <c:trendlineLbl>
              <c:layout>
                <c:manualLayout>
                  <c:x val="0.53106331759930181"/>
                  <c:y val="-0.27799577554207167"/>
                </c:manualLayout>
              </c:layout>
              <c:tx>
                <c:rich>
                  <a:bodyPr/>
                  <a:lstStyle/>
                  <a:p>
                    <a:pPr>
                      <a:defRPr/>
                    </a:pPr>
                    <a:r>
                      <a:rPr lang="en-US" baseline="0"/>
                      <a:t>y = 0.0095x</a:t>
                    </a:r>
                    <a:r>
                      <a:rPr lang="en-US" baseline="30000"/>
                      <a:t>0.81</a:t>
                    </a:r>
                    <a:r>
                      <a:rPr lang="en-US" baseline="0"/>
                      <a:t>
R² = 0.50</a:t>
                    </a:r>
                    <a:endParaRPr lang="en-US"/>
                  </a:p>
                </c:rich>
              </c:tx>
              <c:numFmt formatCode="General" sourceLinked="0"/>
              <c:spPr>
                <a:solidFill>
                  <a:sysClr val="window" lastClr="FFFFFF"/>
                </a:solidFill>
                <a:ln>
                  <a:solidFill>
                    <a:srgbClr val="0070C0"/>
                  </a:solidFill>
                </a:ln>
              </c:spPr>
            </c:trendlineLbl>
          </c:trendline>
          <c:xVal>
            <c:numRef>
              <c:f>('Inventory (2)'!$C$4,'Inventory (2)'!$C$5,'Inventory (2)'!$C$7,'Inventory (2)'!$C$9,'Inventory (2)'!$C$11)</c:f>
              <c:numCache>
                <c:formatCode>General</c:formatCode>
                <c:ptCount val="5"/>
                <c:pt idx="0">
                  <c:v>99</c:v>
                </c:pt>
                <c:pt idx="1">
                  <c:v>350</c:v>
                </c:pt>
                <c:pt idx="2">
                  <c:v>502</c:v>
                </c:pt>
                <c:pt idx="3">
                  <c:v>695</c:v>
                </c:pt>
                <c:pt idx="4">
                  <c:v>705</c:v>
                </c:pt>
              </c:numCache>
            </c:numRef>
          </c:xVal>
          <c:yVal>
            <c:numRef>
              <c:f>('Inventory (2)'!$J$4,'Inventory (2)'!$J$5,'Inventory (2)'!$J$7,'Inventory (2)'!$J$9,'Inventory (2)'!$J$11)</c:f>
              <c:numCache>
                <c:formatCode>General</c:formatCode>
                <c:ptCount val="5"/>
                <c:pt idx="0">
                  <c:v>0.28000000000000008</c:v>
                </c:pt>
                <c:pt idx="1">
                  <c:v>2.56</c:v>
                </c:pt>
                <c:pt idx="2">
                  <c:v>2.08</c:v>
                </c:pt>
                <c:pt idx="3" formatCode="0.00">
                  <c:v>0.8</c:v>
                </c:pt>
                <c:pt idx="4">
                  <c:v>2.08</c:v>
                </c:pt>
              </c:numCache>
            </c:numRef>
          </c:yVal>
        </c:ser>
        <c:ser>
          <c:idx val="1"/>
          <c:order val="1"/>
          <c:tx>
            <c:v>Redd 2</c:v>
          </c:tx>
          <c:spPr>
            <a:ln w="28575">
              <a:noFill/>
            </a:ln>
          </c:spPr>
          <c:marker>
            <c:symbol val="diamond"/>
            <c:size val="5"/>
            <c:spPr>
              <a:solidFill>
                <a:srgbClr val="00B0F0"/>
              </a:solidFill>
              <a:ln>
                <a:solidFill>
                  <a:srgbClr val="00B0F0"/>
                </a:solidFill>
              </a:ln>
            </c:spPr>
          </c:marker>
          <c:trendline>
            <c:spPr>
              <a:ln>
                <a:solidFill>
                  <a:srgbClr val="00B0F0"/>
                </a:solidFill>
              </a:ln>
            </c:spPr>
            <c:trendlineType val="power"/>
            <c:dispRSqr val="1"/>
            <c:dispEq val="1"/>
            <c:trendlineLbl>
              <c:layout>
                <c:manualLayout>
                  <c:x val="0.53106331759930181"/>
                  <c:y val="-8.288832285960622E-2"/>
                </c:manualLayout>
              </c:layout>
              <c:tx>
                <c:rich>
                  <a:bodyPr/>
                  <a:lstStyle/>
                  <a:p>
                    <a:pPr>
                      <a:defRPr/>
                    </a:pPr>
                    <a:r>
                      <a:rPr lang="en-US" baseline="0"/>
                      <a:t>y = 0.0013x</a:t>
                    </a:r>
                    <a:r>
                      <a:rPr lang="en-US" baseline="30000"/>
                      <a:t>1.37</a:t>
                    </a:r>
                    <a:r>
                      <a:rPr lang="en-US" baseline="0"/>
                      <a:t>
R² = 0.28</a:t>
                    </a:r>
                    <a:endParaRPr lang="en-US"/>
                  </a:p>
                </c:rich>
              </c:tx>
              <c:numFmt formatCode="General" sourceLinked="0"/>
              <c:spPr>
                <a:solidFill>
                  <a:sysClr val="window" lastClr="FFFFFF"/>
                </a:solidFill>
                <a:ln>
                  <a:solidFill>
                    <a:srgbClr val="00B0F0"/>
                  </a:solidFill>
                </a:ln>
              </c:spPr>
            </c:trendlineLbl>
          </c:trendline>
          <c:xVal>
            <c:numRef>
              <c:f>('Inventory (2)'!$C$13,'Inventory (2)'!$C$14,'Inventory (2)'!$C$15,'Inventory (2)'!$C$17,'Inventory (2)'!$C$19)</c:f>
              <c:numCache>
                <c:formatCode>General</c:formatCode>
                <c:ptCount val="5"/>
                <c:pt idx="0">
                  <c:v>99</c:v>
                </c:pt>
                <c:pt idx="1">
                  <c:v>350</c:v>
                </c:pt>
                <c:pt idx="2">
                  <c:v>502</c:v>
                </c:pt>
                <c:pt idx="3">
                  <c:v>695</c:v>
                </c:pt>
                <c:pt idx="4">
                  <c:v>705</c:v>
                </c:pt>
              </c:numCache>
            </c:numRef>
          </c:xVal>
          <c:yVal>
            <c:numRef>
              <c:f>('Inventory (2)'!$J$13,'Inventory (2)'!$J$14,'Inventory (2)'!$J$15,'Inventory (2)'!$J$17,'Inventory (2)'!$J$19)</c:f>
              <c:numCache>
                <c:formatCode>General</c:formatCode>
                <c:ptCount val="5"/>
                <c:pt idx="0">
                  <c:v>0.24000000000000005</c:v>
                </c:pt>
                <c:pt idx="1">
                  <c:v>92</c:v>
                </c:pt>
                <c:pt idx="2">
                  <c:v>4.8639999999999981</c:v>
                </c:pt>
                <c:pt idx="3" formatCode="0.00">
                  <c:v>3.6</c:v>
                </c:pt>
                <c:pt idx="4">
                  <c:v>4.8</c:v>
                </c:pt>
              </c:numCache>
            </c:numRef>
          </c:yVal>
        </c:ser>
        <c:ser>
          <c:idx val="2"/>
          <c:order val="2"/>
          <c:tx>
            <c:v>Redd 3</c:v>
          </c:tx>
          <c:spPr>
            <a:ln w="28575">
              <a:noFill/>
            </a:ln>
          </c:spPr>
          <c:marker>
            <c:symbol val="triangle"/>
            <c:size val="5"/>
            <c:spPr>
              <a:solidFill>
                <a:srgbClr val="92D050"/>
              </a:solidFill>
              <a:ln>
                <a:solidFill>
                  <a:srgbClr val="92D050"/>
                </a:solidFill>
              </a:ln>
            </c:spPr>
          </c:marker>
          <c:trendline>
            <c:spPr>
              <a:ln>
                <a:solidFill>
                  <a:srgbClr val="92D050"/>
                </a:solidFill>
              </a:ln>
            </c:spPr>
            <c:trendlineType val="power"/>
            <c:dispRSqr val="1"/>
            <c:dispEq val="1"/>
            <c:trendlineLbl>
              <c:layout>
                <c:manualLayout>
                  <c:x val="0.38509451194830763"/>
                  <c:y val="4.8989215211690952E-2"/>
                </c:manualLayout>
              </c:layout>
              <c:tx>
                <c:rich>
                  <a:bodyPr/>
                  <a:lstStyle/>
                  <a:p>
                    <a:pPr>
                      <a:defRPr/>
                    </a:pPr>
                    <a:r>
                      <a:rPr lang="en-US" baseline="0"/>
                      <a:t>y = 7E-09x</a:t>
                    </a:r>
                    <a:r>
                      <a:rPr lang="en-US" baseline="30000"/>
                      <a:t>3.02</a:t>
                    </a:r>
                    <a:r>
                      <a:rPr lang="en-US" baseline="0"/>
                      <a:t>
R² = 0.93</a:t>
                    </a:r>
                    <a:endParaRPr lang="en-US"/>
                  </a:p>
                </c:rich>
              </c:tx>
              <c:numFmt formatCode="General" sourceLinked="0"/>
              <c:spPr>
                <a:solidFill>
                  <a:schemeClr val="bg1"/>
                </a:solidFill>
                <a:ln>
                  <a:solidFill>
                    <a:srgbClr val="92D050"/>
                  </a:solidFill>
                </a:ln>
              </c:spPr>
            </c:trendlineLbl>
          </c:trendline>
          <c:xVal>
            <c:numRef>
              <c:f>('Inventory (2)'!$C$21,'Inventory (2)'!$C$23,'Inventory (2)'!$C$25,'Inventory (2)'!$C$27,'Inventory (2)'!$C$29,'Inventory (2)'!$C$30)</c:f>
              <c:numCache>
                <c:formatCode>General</c:formatCode>
                <c:ptCount val="6"/>
                <c:pt idx="0">
                  <c:v>99</c:v>
                </c:pt>
                <c:pt idx="1">
                  <c:v>350</c:v>
                </c:pt>
                <c:pt idx="2">
                  <c:v>502</c:v>
                </c:pt>
                <c:pt idx="3">
                  <c:v>700</c:v>
                </c:pt>
                <c:pt idx="4">
                  <c:v>703</c:v>
                </c:pt>
                <c:pt idx="5">
                  <c:v>1002</c:v>
                </c:pt>
              </c:numCache>
            </c:numRef>
          </c:xVal>
          <c:yVal>
            <c:numRef>
              <c:f>('Inventory (2)'!$J$21,'Inventory (2)'!$J$22,'Inventory (2)'!$J$23,'Inventory (2)'!$J$25,'Inventory (2)'!$J$27,'Inventory (2)'!$J$29,'Inventory (2)'!$J$30)</c:f>
              <c:numCache>
                <c:formatCode>General</c:formatCode>
                <c:ptCount val="7"/>
                <c:pt idx="0" formatCode="0.000">
                  <c:v>6.5753424657534311E-3</c:v>
                </c:pt>
                <c:pt idx="1">
                  <c:v>0.64000000000000024</c:v>
                </c:pt>
                <c:pt idx="2">
                  <c:v>0.56000000000000005</c:v>
                </c:pt>
                <c:pt idx="3">
                  <c:v>8.44</c:v>
                </c:pt>
                <c:pt idx="4" formatCode="0.00">
                  <c:v>2</c:v>
                </c:pt>
                <c:pt idx="5">
                  <c:v>5.44</c:v>
                </c:pt>
                <c:pt idx="6">
                  <c:v>59.84</c:v>
                </c:pt>
              </c:numCache>
            </c:numRef>
          </c:yVal>
        </c:ser>
        <c:ser>
          <c:idx val="3"/>
          <c:order val="3"/>
          <c:tx>
            <c:v>Redd 4</c:v>
          </c:tx>
          <c:spPr>
            <a:ln w="28575">
              <a:noFill/>
            </a:ln>
          </c:spPr>
          <c:marker>
            <c:symbol val="circle"/>
            <c:size val="4"/>
            <c:spPr>
              <a:solidFill>
                <a:srgbClr val="FFC000"/>
              </a:solidFill>
              <a:ln>
                <a:solidFill>
                  <a:srgbClr val="FFC000"/>
                </a:solidFill>
              </a:ln>
            </c:spPr>
          </c:marker>
          <c:trendline>
            <c:spPr>
              <a:ln>
                <a:solidFill>
                  <a:srgbClr val="FFC000"/>
                </a:solidFill>
              </a:ln>
            </c:spPr>
            <c:trendlineType val="power"/>
            <c:dispRSqr val="1"/>
            <c:dispEq val="1"/>
            <c:trendlineLbl>
              <c:layout>
                <c:manualLayout>
                  <c:x val="0.38410711287735383"/>
                  <c:y val="0.31973114701791078"/>
                </c:manualLayout>
              </c:layout>
              <c:tx>
                <c:rich>
                  <a:bodyPr/>
                  <a:lstStyle/>
                  <a:p>
                    <a:pPr>
                      <a:defRPr/>
                    </a:pPr>
                    <a:r>
                      <a:rPr lang="en-US" baseline="0"/>
                      <a:t>y = 3E-06x</a:t>
                    </a:r>
                    <a:r>
                      <a:rPr lang="en-US" baseline="30000"/>
                      <a:t>2.65</a:t>
                    </a:r>
                    <a:r>
                      <a:rPr lang="en-US" baseline="0"/>
                      <a:t>
R² = 0.58</a:t>
                    </a:r>
                    <a:endParaRPr lang="en-US"/>
                  </a:p>
                </c:rich>
              </c:tx>
              <c:numFmt formatCode="General" sourceLinked="0"/>
              <c:spPr>
                <a:solidFill>
                  <a:sysClr val="window" lastClr="FFFFFF"/>
                </a:solidFill>
                <a:ln>
                  <a:solidFill>
                    <a:srgbClr val="FFC000"/>
                  </a:solidFill>
                </a:ln>
              </c:spPr>
            </c:trendlineLbl>
          </c:trendline>
          <c:xVal>
            <c:numRef>
              <c:f>('Inventory (2)'!$C$32,'Inventory (2)'!$C$33,'Inventory (2)'!$C$34,'Inventory (2)'!$C$36,'Inventory (2)'!$C$38,'Inventory (2)'!$C$39)</c:f>
              <c:numCache>
                <c:formatCode>General</c:formatCode>
                <c:ptCount val="6"/>
                <c:pt idx="0">
                  <c:v>99</c:v>
                </c:pt>
                <c:pt idx="1">
                  <c:v>350</c:v>
                </c:pt>
                <c:pt idx="2">
                  <c:v>502</c:v>
                </c:pt>
                <c:pt idx="3">
                  <c:v>698</c:v>
                </c:pt>
                <c:pt idx="4">
                  <c:v>705</c:v>
                </c:pt>
                <c:pt idx="5">
                  <c:v>1004</c:v>
                </c:pt>
              </c:numCache>
            </c:numRef>
          </c:xVal>
          <c:yVal>
            <c:numRef>
              <c:f>('Inventory (2)'!$J$32,'Inventory (2)'!$J$33,'Inventory (2)'!$J$34,'Inventory (2)'!$J$36,'Inventory (2)'!$J$38,'Inventory (2)'!$J$39)</c:f>
              <c:numCache>
                <c:formatCode>General</c:formatCode>
                <c:ptCount val="6"/>
                <c:pt idx="0">
                  <c:v>1</c:v>
                </c:pt>
                <c:pt idx="1">
                  <c:v>60.56</c:v>
                </c:pt>
                <c:pt idx="2">
                  <c:v>10.6</c:v>
                </c:pt>
                <c:pt idx="3">
                  <c:v>27</c:v>
                </c:pt>
                <c:pt idx="4">
                  <c:v>27.04</c:v>
                </c:pt>
                <c:pt idx="5">
                  <c:v>6133.6</c:v>
                </c:pt>
              </c:numCache>
            </c:numRef>
          </c:yVal>
        </c:ser>
        <c:ser>
          <c:idx val="4"/>
          <c:order val="4"/>
          <c:tx>
            <c:v>Redd 5</c:v>
          </c:tx>
          <c:spPr>
            <a:ln w="28575">
              <a:noFill/>
            </a:ln>
          </c:spPr>
          <c:marker>
            <c:symbol val="x"/>
            <c:size val="5"/>
            <c:spPr>
              <a:noFill/>
              <a:ln>
                <a:solidFill>
                  <a:srgbClr val="FF0000"/>
                </a:solidFill>
              </a:ln>
            </c:spPr>
          </c:marker>
          <c:trendline>
            <c:spPr>
              <a:ln>
                <a:solidFill>
                  <a:srgbClr val="FF0000"/>
                </a:solidFill>
              </a:ln>
            </c:spPr>
            <c:trendlineType val="power"/>
            <c:dispRSqr val="1"/>
            <c:dispEq val="1"/>
            <c:trendlineLbl>
              <c:layout>
                <c:manualLayout>
                  <c:x val="0.38410711287735383"/>
                  <c:y val="0.43745576757978066"/>
                </c:manualLayout>
              </c:layout>
              <c:tx>
                <c:rich>
                  <a:bodyPr/>
                  <a:lstStyle/>
                  <a:p>
                    <a:pPr>
                      <a:defRPr/>
                    </a:pPr>
                    <a:r>
                      <a:rPr lang="en-US" baseline="0"/>
                      <a:t>y = 8E-06x</a:t>
                    </a:r>
                    <a:r>
                      <a:rPr lang="en-US" baseline="30000"/>
                      <a:t>2.45</a:t>
                    </a:r>
                    <a:r>
                      <a:rPr lang="en-US" baseline="0"/>
                      <a:t>
R² = 0.71</a:t>
                    </a:r>
                    <a:endParaRPr lang="en-US"/>
                  </a:p>
                </c:rich>
              </c:tx>
              <c:numFmt formatCode="General" sourceLinked="0"/>
              <c:spPr>
                <a:solidFill>
                  <a:sysClr val="window" lastClr="FFFFFF"/>
                </a:solidFill>
                <a:ln>
                  <a:solidFill>
                    <a:srgbClr val="FF0000"/>
                  </a:solidFill>
                </a:ln>
              </c:spPr>
            </c:trendlineLbl>
          </c:trendline>
          <c:xVal>
            <c:numRef>
              <c:f>('Inventory (2)'!$C$41,'Inventory (2)'!$C$42,'Inventory (2)'!$C$44,'Inventory (2)'!$C$46,'Inventory (2)'!$C$47)</c:f>
              <c:numCache>
                <c:formatCode>General</c:formatCode>
                <c:ptCount val="5"/>
                <c:pt idx="0">
                  <c:v>99</c:v>
                </c:pt>
                <c:pt idx="1">
                  <c:v>502</c:v>
                </c:pt>
                <c:pt idx="2">
                  <c:v>700</c:v>
                </c:pt>
                <c:pt idx="3">
                  <c:v>705</c:v>
                </c:pt>
                <c:pt idx="4">
                  <c:v>1004</c:v>
                </c:pt>
              </c:numCache>
            </c:numRef>
          </c:xVal>
          <c:yVal>
            <c:numRef>
              <c:f>('Inventory (2)'!$J$41,'Inventory (2)'!$J$42,'Inventory (2)'!$J$44,'Inventory (2)'!$J$46,'Inventory (2)'!$J$47)</c:f>
              <c:numCache>
                <c:formatCode>General</c:formatCode>
                <c:ptCount val="5"/>
                <c:pt idx="0">
                  <c:v>1</c:v>
                </c:pt>
                <c:pt idx="1">
                  <c:v>6</c:v>
                </c:pt>
                <c:pt idx="2">
                  <c:v>278.08</c:v>
                </c:pt>
                <c:pt idx="3">
                  <c:v>19.760000000000002</c:v>
                </c:pt>
                <c:pt idx="4">
                  <c:v>562.88</c:v>
                </c:pt>
              </c:numCache>
            </c:numRef>
          </c:yVal>
        </c:ser>
        <c:axId val="191997440"/>
        <c:axId val="191999360"/>
      </c:scatterChart>
      <c:valAx>
        <c:axId val="191997440"/>
        <c:scaling>
          <c:orientation val="minMax"/>
          <c:max val="1200"/>
          <c:min val="0"/>
        </c:scaling>
        <c:axPos val="b"/>
        <c:majorGridlines/>
        <c:title>
          <c:tx>
            <c:rich>
              <a:bodyPr/>
              <a:lstStyle/>
              <a:p>
                <a:pPr>
                  <a:defRPr/>
                </a:pPr>
                <a:r>
                  <a:rPr lang="en-US"/>
                  <a:t>Discharge</a:t>
                </a:r>
                <a:r>
                  <a:rPr lang="en-US" baseline="0"/>
                  <a:t> (cfs)</a:t>
                </a:r>
                <a:endParaRPr lang="en-US"/>
              </a:p>
            </c:rich>
          </c:tx>
          <c:layout/>
        </c:title>
        <c:numFmt formatCode="General" sourceLinked="1"/>
        <c:majorTickMark val="none"/>
        <c:tickLblPos val="nextTo"/>
        <c:crossAx val="191999360"/>
        <c:crossesAt val="1.0000000000000022E-3"/>
        <c:crossBetween val="midCat"/>
      </c:valAx>
      <c:valAx>
        <c:axId val="191999360"/>
        <c:scaling>
          <c:logBase val="10"/>
          <c:orientation val="minMax"/>
        </c:scaling>
        <c:axPos val="l"/>
        <c:majorGridlines/>
        <c:title>
          <c:tx>
            <c:rich>
              <a:bodyPr/>
              <a:lstStyle/>
              <a:p>
                <a:pPr>
                  <a:defRPr/>
                </a:pPr>
                <a:r>
                  <a:rPr lang="en-US"/>
                  <a:t>Unit Transport</a:t>
                </a:r>
                <a:r>
                  <a:rPr lang="en-US" baseline="0"/>
                  <a:t> Rate (g/hr/ft)</a:t>
                </a:r>
                <a:endParaRPr lang="en-US"/>
              </a:p>
            </c:rich>
          </c:tx>
          <c:layout/>
        </c:title>
        <c:numFmt formatCode="General" sourceLinked="1"/>
        <c:majorTickMark val="none"/>
        <c:tickLblPos val="nextTo"/>
        <c:crossAx val="191997440"/>
        <c:crosses val="autoZero"/>
        <c:crossBetween val="midCat"/>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0.73266423704677208"/>
          <c:y val="0.18673830543071243"/>
          <c:w val="0.10403096796440582"/>
          <c:h val="0.61715585947758611"/>
        </c:manualLayout>
      </c:layout>
      <c:spPr>
        <a:solidFill>
          <a:sysClr val="window" lastClr="FFFFFF"/>
        </a:solidFill>
        <a:effectLst/>
      </c:sp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Exp3a</a:t>
            </a:r>
            <a:r>
              <a:rPr lang="en-US" baseline="0"/>
              <a:t> </a:t>
            </a:r>
            <a:endParaRPr lang="en-US"/>
          </a:p>
        </c:rich>
      </c:tx>
      <c:layout/>
    </c:title>
    <c:plotArea>
      <c:layout/>
      <c:barChart>
        <c:barDir val="col"/>
        <c:grouping val="clustered"/>
        <c:ser>
          <c:idx val="0"/>
          <c:order val="0"/>
          <c:tx>
            <c:strRef>
              <c:f>Charts!$W$1:$AA$1</c:f>
              <c:strCache>
                <c:ptCount val="1"/>
                <c:pt idx="0">
                  <c:v>R1 EXP3 RL R2 EXP3 RL R3 EXP3 RL R4 EXP3 RL R5 EXP3 RL</c:v>
                </c:pt>
              </c:strCache>
            </c:strRef>
          </c:tx>
          <c:spPr>
            <a:solidFill>
              <a:srgbClr val="00B050"/>
            </a:solidFill>
          </c:spPr>
          <c:val>
            <c:numRef>
              <c:f>Charts!$W$25:$AA$25</c:f>
              <c:numCache>
                <c:formatCode>0%</c:formatCode>
                <c:ptCount val="5"/>
                <c:pt idx="0">
                  <c:v>0.19555361012241801</c:v>
                </c:pt>
                <c:pt idx="1">
                  <c:v>4.6107649237148336E-2</c:v>
                </c:pt>
                <c:pt idx="2">
                  <c:v>0.19860027251131379</c:v>
                </c:pt>
                <c:pt idx="3">
                  <c:v>2.7509010446589526E-2</c:v>
                </c:pt>
                <c:pt idx="4">
                  <c:v>7.1476661753723915E-3</c:v>
                </c:pt>
              </c:numCache>
            </c:numRef>
          </c:val>
        </c:ser>
        <c:axId val="196910080"/>
        <c:axId val="196928256"/>
      </c:barChart>
      <c:catAx>
        <c:axId val="196910080"/>
        <c:scaling>
          <c:orientation val="minMax"/>
        </c:scaling>
        <c:axPos val="b"/>
        <c:numFmt formatCode="General" sourceLinked="1"/>
        <c:majorTickMark val="none"/>
        <c:tickLblPos val="nextTo"/>
        <c:crossAx val="196928256"/>
        <c:crosses val="autoZero"/>
        <c:auto val="1"/>
        <c:lblAlgn val="ctr"/>
        <c:lblOffset val="100"/>
      </c:catAx>
      <c:valAx>
        <c:axId val="196928256"/>
        <c:scaling>
          <c:orientation val="minMax"/>
          <c:max val="0.25"/>
        </c:scaling>
        <c:axPos val="l"/>
        <c:majorGridlines/>
        <c:title>
          <c:tx>
            <c:rich>
              <a:bodyPr/>
              <a:lstStyle/>
              <a:p>
                <a:pPr>
                  <a:defRPr/>
                </a:pPr>
                <a:r>
                  <a:rPr lang="en-US" baseline="0"/>
                  <a:t>Bedload Captured</a:t>
                </a:r>
                <a:endParaRPr lang="en-US"/>
              </a:p>
            </c:rich>
          </c:tx>
          <c:layout/>
        </c:title>
        <c:numFmt formatCode="0%" sourceLinked="1"/>
        <c:majorTickMark val="none"/>
        <c:tickLblPos val="nextTo"/>
        <c:crossAx val="19691008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Exp3b, &lt;6.35mm</a:t>
            </a:r>
            <a:r>
              <a:rPr lang="en-US" baseline="0"/>
              <a:t> </a:t>
            </a:r>
            <a:endParaRPr lang="en-US"/>
          </a:p>
        </c:rich>
      </c:tx>
      <c:layout/>
    </c:title>
    <c:plotArea>
      <c:layout/>
      <c:barChart>
        <c:barDir val="col"/>
        <c:grouping val="clustered"/>
        <c:ser>
          <c:idx val="0"/>
          <c:order val="0"/>
          <c:tx>
            <c:strRef>
              <c:f>Charts!$AB$1:$AF$1</c:f>
              <c:strCache>
                <c:ptCount val="1"/>
                <c:pt idx="0">
                  <c:v>R1 EXP3 RR R2 EXP3 RR R3 EXP3 RR R4 EXP3 RR R5 EXP3 RR</c:v>
                </c:pt>
              </c:strCache>
            </c:strRef>
          </c:tx>
          <c:val>
            <c:numRef>
              <c:f>Charts!$AB$19:$AF$19</c:f>
              <c:numCache>
                <c:formatCode>General</c:formatCode>
                <c:ptCount val="5"/>
                <c:pt idx="0">
                  <c:v>129.20000000000002</c:v>
                </c:pt>
                <c:pt idx="1">
                  <c:v>2463.5</c:v>
                </c:pt>
                <c:pt idx="2">
                  <c:v>597.19999999999993</c:v>
                </c:pt>
                <c:pt idx="3">
                  <c:v>2476.2999999999997</c:v>
                </c:pt>
                <c:pt idx="4">
                  <c:v>1032.9000000000001</c:v>
                </c:pt>
              </c:numCache>
            </c:numRef>
          </c:val>
        </c:ser>
        <c:axId val="196964736"/>
        <c:axId val="196966272"/>
      </c:barChart>
      <c:catAx>
        <c:axId val="196964736"/>
        <c:scaling>
          <c:orientation val="minMax"/>
        </c:scaling>
        <c:axPos val="b"/>
        <c:majorTickMark val="none"/>
        <c:tickLblPos val="nextTo"/>
        <c:crossAx val="196966272"/>
        <c:crosses val="autoZero"/>
        <c:auto val="1"/>
        <c:lblAlgn val="ctr"/>
        <c:lblOffset val="100"/>
      </c:catAx>
      <c:valAx>
        <c:axId val="196966272"/>
        <c:scaling>
          <c:orientation val="minMax"/>
          <c:max val="2500"/>
        </c:scaling>
        <c:axPos val="l"/>
        <c:majorGridlines/>
        <c:title>
          <c:tx>
            <c:rich>
              <a:bodyPr/>
              <a:lstStyle/>
              <a:p>
                <a:pPr>
                  <a:defRPr/>
                </a:pPr>
                <a:r>
                  <a:rPr lang="en-US"/>
                  <a:t>Grams</a:t>
                </a:r>
              </a:p>
            </c:rich>
          </c:tx>
          <c:layout/>
        </c:title>
        <c:numFmt formatCode="General" sourceLinked="1"/>
        <c:majorTickMark val="none"/>
        <c:tickLblPos val="nextTo"/>
        <c:crossAx val="196964736"/>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Exp3b, &lt;6.35mm</a:t>
            </a:r>
            <a:r>
              <a:rPr lang="en-US" baseline="0"/>
              <a:t> </a:t>
            </a:r>
            <a:endParaRPr lang="en-US"/>
          </a:p>
        </c:rich>
      </c:tx>
      <c:layout/>
    </c:title>
    <c:plotArea>
      <c:layout/>
      <c:barChart>
        <c:barDir val="col"/>
        <c:grouping val="clustered"/>
        <c:ser>
          <c:idx val="0"/>
          <c:order val="0"/>
          <c:tx>
            <c:strRef>
              <c:f>Charts!$AB$1:$AF$1</c:f>
              <c:strCache>
                <c:ptCount val="1"/>
                <c:pt idx="0">
                  <c:v>R1 EXP3 RR R2 EXP3 RR R3 EXP3 RR R4 EXP3 RR R5 EXP3 RR</c:v>
                </c:pt>
              </c:strCache>
            </c:strRef>
          </c:tx>
          <c:spPr>
            <a:solidFill>
              <a:srgbClr val="C00000"/>
            </a:solidFill>
          </c:spPr>
          <c:val>
            <c:numRef>
              <c:f>Charts!$AB$22:$AF$22</c:f>
              <c:numCache>
                <c:formatCode>0%</c:formatCode>
                <c:ptCount val="5"/>
                <c:pt idx="0">
                  <c:v>2.5075206210577405E-2</c:v>
                </c:pt>
                <c:pt idx="1">
                  <c:v>9.8148583449204574E-2</c:v>
                </c:pt>
                <c:pt idx="2">
                  <c:v>2.9722089504698186E-2</c:v>
                </c:pt>
                <c:pt idx="3">
                  <c:v>9.9649498392360633E-2</c:v>
                </c:pt>
                <c:pt idx="4">
                  <c:v>4.0923462151047175E-2</c:v>
                </c:pt>
              </c:numCache>
            </c:numRef>
          </c:val>
        </c:ser>
        <c:axId val="196982272"/>
        <c:axId val="196983808"/>
      </c:barChart>
      <c:catAx>
        <c:axId val="196982272"/>
        <c:scaling>
          <c:orientation val="minMax"/>
        </c:scaling>
        <c:axPos val="b"/>
        <c:numFmt formatCode="General" sourceLinked="1"/>
        <c:majorTickMark val="none"/>
        <c:tickLblPos val="nextTo"/>
        <c:crossAx val="196983808"/>
        <c:crosses val="autoZero"/>
        <c:auto val="1"/>
        <c:lblAlgn val="ctr"/>
        <c:lblOffset val="100"/>
      </c:catAx>
      <c:valAx>
        <c:axId val="196983808"/>
        <c:scaling>
          <c:orientation val="minMax"/>
          <c:max val="0.1"/>
        </c:scaling>
        <c:axPos val="l"/>
        <c:majorGridlines/>
        <c:title>
          <c:tx>
            <c:rich>
              <a:bodyPr/>
              <a:lstStyle/>
              <a:p>
                <a:pPr>
                  <a:defRPr/>
                </a:pPr>
                <a:r>
                  <a:rPr lang="en-US"/>
                  <a:t>Percent</a:t>
                </a:r>
                <a:r>
                  <a:rPr lang="en-US" baseline="0"/>
                  <a:t> of Sample</a:t>
                </a:r>
                <a:endParaRPr lang="en-US"/>
              </a:p>
            </c:rich>
          </c:tx>
          <c:layout/>
        </c:title>
        <c:numFmt formatCode="0%" sourceLinked="1"/>
        <c:majorTickMark val="none"/>
        <c:tickLblPos val="nextTo"/>
        <c:crossAx val="19698227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Exp3b</a:t>
            </a:r>
            <a:r>
              <a:rPr lang="en-US" baseline="0"/>
              <a:t> </a:t>
            </a:r>
            <a:endParaRPr lang="en-US"/>
          </a:p>
        </c:rich>
      </c:tx>
      <c:layout/>
    </c:title>
    <c:plotArea>
      <c:layout/>
      <c:barChart>
        <c:barDir val="col"/>
        <c:grouping val="clustered"/>
        <c:ser>
          <c:idx val="0"/>
          <c:order val="0"/>
          <c:tx>
            <c:strRef>
              <c:f>Charts!$AB$1:$AF$1</c:f>
              <c:strCache>
                <c:ptCount val="1"/>
                <c:pt idx="0">
                  <c:v>R1 EXP3 RR R2 EXP3 RR R3 EXP3 RR R4 EXP3 RR R5 EXP3 RR</c:v>
                </c:pt>
              </c:strCache>
            </c:strRef>
          </c:tx>
          <c:spPr>
            <a:solidFill>
              <a:srgbClr val="00B050"/>
            </a:solidFill>
          </c:spPr>
          <c:val>
            <c:numRef>
              <c:f>Charts!$AB$25:$AF$25</c:f>
              <c:numCache>
                <c:formatCode>0%</c:formatCode>
                <c:ptCount val="5"/>
                <c:pt idx="0">
                  <c:v>4.5712578320160603E-2</c:v>
                </c:pt>
                <c:pt idx="1">
                  <c:v>0.15155215331445071</c:v>
                </c:pt>
                <c:pt idx="2">
                  <c:v>8.9161305847582528E-2</c:v>
                </c:pt>
                <c:pt idx="3">
                  <c:v>1.0964506778639091E-2</c:v>
                </c:pt>
                <c:pt idx="4">
                  <c:v>6.7518721142078115E-3</c:v>
                </c:pt>
              </c:numCache>
            </c:numRef>
          </c:val>
        </c:ser>
        <c:axId val="197266048"/>
        <c:axId val="197280128"/>
      </c:barChart>
      <c:catAx>
        <c:axId val="197266048"/>
        <c:scaling>
          <c:orientation val="minMax"/>
        </c:scaling>
        <c:axPos val="b"/>
        <c:numFmt formatCode="General" sourceLinked="1"/>
        <c:majorTickMark val="none"/>
        <c:tickLblPos val="nextTo"/>
        <c:crossAx val="197280128"/>
        <c:crosses val="autoZero"/>
        <c:auto val="1"/>
        <c:lblAlgn val="ctr"/>
        <c:lblOffset val="100"/>
      </c:catAx>
      <c:valAx>
        <c:axId val="197280128"/>
        <c:scaling>
          <c:orientation val="minMax"/>
          <c:max val="0.25"/>
        </c:scaling>
        <c:axPos val="l"/>
        <c:majorGridlines/>
        <c:title>
          <c:tx>
            <c:rich>
              <a:bodyPr/>
              <a:lstStyle/>
              <a:p>
                <a:pPr>
                  <a:defRPr/>
                </a:pPr>
                <a:r>
                  <a:rPr lang="en-US" baseline="0"/>
                  <a:t>Bedload Captured</a:t>
                </a:r>
                <a:endParaRPr lang="en-US"/>
              </a:p>
            </c:rich>
          </c:tx>
          <c:layout/>
        </c:title>
        <c:numFmt formatCode="0%" sourceLinked="1"/>
        <c:majorTickMark val="none"/>
        <c:tickLblPos val="nextTo"/>
        <c:crossAx val="1972660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Exp2a, &lt;6.35mm</a:t>
            </a:r>
            <a:r>
              <a:rPr lang="en-US" baseline="0"/>
              <a:t> </a:t>
            </a:r>
            <a:endParaRPr lang="en-US"/>
          </a:p>
        </c:rich>
      </c:tx>
      <c:layout/>
    </c:title>
    <c:plotArea>
      <c:layout/>
      <c:barChart>
        <c:barDir val="col"/>
        <c:grouping val="clustered"/>
        <c:ser>
          <c:idx val="0"/>
          <c:order val="0"/>
          <c:tx>
            <c:strRef>
              <c:f>Charts!$M$1:$Q$1</c:f>
              <c:strCache>
                <c:ptCount val="1"/>
                <c:pt idx="0">
                  <c:v>R1 EXP2 RL R2 EXP2 RL R3 EXP2 RL R4 EXP2 RL R5 EXP2 RL</c:v>
                </c:pt>
              </c:strCache>
            </c:strRef>
          </c:tx>
          <c:val>
            <c:numRef>
              <c:f>Charts!$M$19:$Q$19</c:f>
              <c:numCache>
                <c:formatCode>General</c:formatCode>
                <c:ptCount val="5"/>
                <c:pt idx="0">
                  <c:v>155.9</c:v>
                </c:pt>
                <c:pt idx="1">
                  <c:v>92.6</c:v>
                </c:pt>
                <c:pt idx="2">
                  <c:v>100.3</c:v>
                </c:pt>
                <c:pt idx="3">
                  <c:v>106.4</c:v>
                </c:pt>
                <c:pt idx="4">
                  <c:v>245</c:v>
                </c:pt>
              </c:numCache>
            </c:numRef>
          </c:val>
        </c:ser>
        <c:axId val="189233024"/>
        <c:axId val="189234560"/>
      </c:barChart>
      <c:catAx>
        <c:axId val="189233024"/>
        <c:scaling>
          <c:orientation val="minMax"/>
        </c:scaling>
        <c:axPos val="b"/>
        <c:majorTickMark val="none"/>
        <c:tickLblPos val="nextTo"/>
        <c:crossAx val="189234560"/>
        <c:crosses val="autoZero"/>
        <c:auto val="1"/>
        <c:lblAlgn val="ctr"/>
        <c:lblOffset val="100"/>
      </c:catAx>
      <c:valAx>
        <c:axId val="189234560"/>
        <c:scaling>
          <c:orientation val="minMax"/>
          <c:max val="2500"/>
        </c:scaling>
        <c:axPos val="l"/>
        <c:majorGridlines/>
        <c:title>
          <c:tx>
            <c:rich>
              <a:bodyPr/>
              <a:lstStyle/>
              <a:p>
                <a:pPr>
                  <a:defRPr/>
                </a:pPr>
                <a:r>
                  <a:rPr lang="en-US"/>
                  <a:t>Grams</a:t>
                </a:r>
              </a:p>
            </c:rich>
          </c:tx>
          <c:layout/>
        </c:title>
        <c:numFmt formatCode="General" sourceLinked="1"/>
        <c:majorTickMark val="none"/>
        <c:tickLblPos val="nextTo"/>
        <c:crossAx val="1892330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Exp2a, &lt;6.35mm</a:t>
            </a:r>
            <a:r>
              <a:rPr lang="en-US" baseline="0"/>
              <a:t> </a:t>
            </a:r>
            <a:endParaRPr lang="en-US"/>
          </a:p>
        </c:rich>
      </c:tx>
      <c:layout/>
    </c:title>
    <c:plotArea>
      <c:layout/>
      <c:barChart>
        <c:barDir val="col"/>
        <c:grouping val="clustered"/>
        <c:ser>
          <c:idx val="0"/>
          <c:order val="0"/>
          <c:tx>
            <c:strRef>
              <c:f>Charts!$M$1:$Q$1</c:f>
              <c:strCache>
                <c:ptCount val="1"/>
                <c:pt idx="0">
                  <c:v>R1 EXP2 RL R2 EXP2 RL R3 EXP2 RL R4 EXP2 RL R5 EXP2 RL</c:v>
                </c:pt>
              </c:strCache>
            </c:strRef>
          </c:tx>
          <c:spPr>
            <a:solidFill>
              <a:srgbClr val="C00000"/>
            </a:solidFill>
          </c:spPr>
          <c:val>
            <c:numRef>
              <c:f>Charts!$M$22:$Q$22</c:f>
              <c:numCache>
                <c:formatCode>0%</c:formatCode>
                <c:ptCount val="5"/>
                <c:pt idx="0">
                  <c:v>8.7382994226780988E-3</c:v>
                </c:pt>
                <c:pt idx="1">
                  <c:v>9.8613448062874112E-3</c:v>
                </c:pt>
                <c:pt idx="2">
                  <c:v>1.0018378680730357E-2</c:v>
                </c:pt>
                <c:pt idx="3">
                  <c:v>7.4430578096144192E-3</c:v>
                </c:pt>
                <c:pt idx="4">
                  <c:v>1.6287186305467848E-2</c:v>
                </c:pt>
              </c:numCache>
            </c:numRef>
          </c:val>
        </c:ser>
        <c:axId val="191515648"/>
        <c:axId val="191533824"/>
      </c:barChart>
      <c:catAx>
        <c:axId val="191515648"/>
        <c:scaling>
          <c:orientation val="minMax"/>
        </c:scaling>
        <c:axPos val="b"/>
        <c:majorTickMark val="none"/>
        <c:tickLblPos val="nextTo"/>
        <c:crossAx val="191533824"/>
        <c:crosses val="autoZero"/>
        <c:auto val="1"/>
        <c:lblAlgn val="ctr"/>
        <c:lblOffset val="100"/>
      </c:catAx>
      <c:valAx>
        <c:axId val="191533824"/>
        <c:scaling>
          <c:orientation val="minMax"/>
          <c:max val="0.1"/>
        </c:scaling>
        <c:axPos val="l"/>
        <c:majorGridlines/>
        <c:title>
          <c:tx>
            <c:rich>
              <a:bodyPr/>
              <a:lstStyle/>
              <a:p>
                <a:pPr>
                  <a:defRPr/>
                </a:pPr>
                <a:r>
                  <a:rPr lang="en-US"/>
                  <a:t>Percent</a:t>
                </a:r>
                <a:r>
                  <a:rPr lang="en-US" baseline="0"/>
                  <a:t> of Sample</a:t>
                </a:r>
                <a:endParaRPr lang="en-US"/>
              </a:p>
            </c:rich>
          </c:tx>
          <c:layout/>
        </c:title>
        <c:numFmt formatCode="0%" sourceLinked="1"/>
        <c:majorTickMark val="none"/>
        <c:tickLblPos val="nextTo"/>
        <c:crossAx val="1915156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Exp2a</a:t>
            </a:r>
            <a:r>
              <a:rPr lang="en-US" baseline="0"/>
              <a:t> </a:t>
            </a:r>
            <a:endParaRPr lang="en-US"/>
          </a:p>
        </c:rich>
      </c:tx>
      <c:layout/>
    </c:title>
    <c:plotArea>
      <c:layout/>
      <c:barChart>
        <c:barDir val="col"/>
        <c:grouping val="clustered"/>
        <c:ser>
          <c:idx val="0"/>
          <c:order val="0"/>
          <c:tx>
            <c:strRef>
              <c:f>Charts!$M$1:$Q$1</c:f>
              <c:strCache>
                <c:ptCount val="1"/>
                <c:pt idx="0">
                  <c:v>R1 EXP2 RL R2 EXP2 RL R3 EXP2 RL R4 EXP2 RL R5 EXP2 RL</c:v>
                </c:pt>
              </c:strCache>
            </c:strRef>
          </c:tx>
          <c:spPr>
            <a:solidFill>
              <a:srgbClr val="00B050"/>
            </a:solidFill>
            <a:ln>
              <a:solidFill>
                <a:srgbClr val="00B0F0"/>
              </a:solidFill>
            </a:ln>
          </c:spPr>
          <c:val>
            <c:numRef>
              <c:f>Charts!$M$25:$Q$25</c:f>
              <c:numCache>
                <c:formatCode>0%</c:formatCode>
                <c:ptCount val="5"/>
                <c:pt idx="0">
                  <c:v>0.37189299975158985</c:v>
                </c:pt>
                <c:pt idx="1">
                  <c:v>0.10271451420839836</c:v>
                </c:pt>
                <c:pt idx="2">
                  <c:v>3.1423515491348888</c:v>
                </c:pt>
                <c:pt idx="3">
                  <c:v>6.1072440175558115E-2</c:v>
                </c:pt>
                <c:pt idx="4">
                  <c:v>0.15753168320583308</c:v>
                </c:pt>
              </c:numCache>
            </c:numRef>
          </c:val>
        </c:ser>
        <c:axId val="191545728"/>
        <c:axId val="191547264"/>
      </c:barChart>
      <c:catAx>
        <c:axId val="191545728"/>
        <c:scaling>
          <c:orientation val="minMax"/>
        </c:scaling>
        <c:axPos val="b"/>
        <c:majorTickMark val="none"/>
        <c:tickLblPos val="nextTo"/>
        <c:crossAx val="191547264"/>
        <c:crosses val="autoZero"/>
        <c:auto val="1"/>
        <c:lblAlgn val="ctr"/>
        <c:lblOffset val="100"/>
      </c:catAx>
      <c:valAx>
        <c:axId val="191547264"/>
        <c:scaling>
          <c:orientation val="minMax"/>
          <c:max val="3.5"/>
        </c:scaling>
        <c:axPos val="l"/>
        <c:majorGridlines/>
        <c:title>
          <c:tx>
            <c:rich>
              <a:bodyPr/>
              <a:lstStyle/>
              <a:p>
                <a:pPr>
                  <a:defRPr/>
                </a:pPr>
                <a:r>
                  <a:rPr lang="en-US" baseline="0"/>
                  <a:t>Bedload Captured</a:t>
                </a:r>
                <a:endParaRPr lang="en-US"/>
              </a:p>
            </c:rich>
          </c:tx>
          <c:layout/>
        </c:title>
        <c:numFmt formatCode="0%" sourceLinked="1"/>
        <c:majorTickMark val="none"/>
        <c:tickLblPos val="nextTo"/>
        <c:crossAx val="19154572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Exp2b, &lt;6.35mm</a:t>
            </a:r>
            <a:r>
              <a:rPr lang="en-US" baseline="0"/>
              <a:t> </a:t>
            </a:r>
            <a:endParaRPr lang="en-US"/>
          </a:p>
        </c:rich>
      </c:tx>
      <c:layout/>
    </c:title>
    <c:plotArea>
      <c:layout/>
      <c:barChart>
        <c:barDir val="col"/>
        <c:grouping val="clustered"/>
        <c:ser>
          <c:idx val="0"/>
          <c:order val="0"/>
          <c:tx>
            <c:strRef>
              <c:f>Charts!$R$1:$U$1</c:f>
              <c:strCache>
                <c:ptCount val="1"/>
                <c:pt idx="0">
                  <c:v>R2 EXP2 RR R3 EXP2 RR R4 EXP2 RR R5 EXP2 RR</c:v>
                </c:pt>
              </c:strCache>
            </c:strRef>
          </c:tx>
          <c:cat>
            <c:numRef>
              <c:f>Charts!$R$6:$U$6</c:f>
              <c:numCache>
                <c:formatCode>General</c:formatCode>
                <c:ptCount val="4"/>
                <c:pt idx="0">
                  <c:v>2</c:v>
                </c:pt>
                <c:pt idx="1">
                  <c:v>3</c:v>
                </c:pt>
                <c:pt idx="2">
                  <c:v>4</c:v>
                </c:pt>
                <c:pt idx="3">
                  <c:v>5</c:v>
                </c:pt>
              </c:numCache>
            </c:numRef>
          </c:cat>
          <c:val>
            <c:numRef>
              <c:f>Charts!$R$19:$U$19</c:f>
              <c:numCache>
                <c:formatCode>General</c:formatCode>
                <c:ptCount val="4"/>
                <c:pt idx="0">
                  <c:v>357.6</c:v>
                </c:pt>
                <c:pt idx="1">
                  <c:v>97</c:v>
                </c:pt>
                <c:pt idx="2">
                  <c:v>1001.4000000000001</c:v>
                </c:pt>
                <c:pt idx="3">
                  <c:v>1026.4000000000001</c:v>
                </c:pt>
              </c:numCache>
            </c:numRef>
          </c:val>
        </c:ser>
        <c:axId val="196482560"/>
        <c:axId val="196484096"/>
      </c:barChart>
      <c:catAx>
        <c:axId val="196482560"/>
        <c:scaling>
          <c:orientation val="minMax"/>
        </c:scaling>
        <c:axPos val="b"/>
        <c:numFmt formatCode="General" sourceLinked="1"/>
        <c:majorTickMark val="none"/>
        <c:tickLblPos val="nextTo"/>
        <c:crossAx val="196484096"/>
        <c:crosses val="autoZero"/>
        <c:auto val="1"/>
        <c:lblAlgn val="ctr"/>
        <c:lblOffset val="100"/>
      </c:catAx>
      <c:valAx>
        <c:axId val="196484096"/>
        <c:scaling>
          <c:orientation val="minMax"/>
          <c:max val="2500"/>
        </c:scaling>
        <c:axPos val="l"/>
        <c:majorGridlines/>
        <c:title>
          <c:tx>
            <c:rich>
              <a:bodyPr/>
              <a:lstStyle/>
              <a:p>
                <a:pPr>
                  <a:defRPr/>
                </a:pPr>
                <a:r>
                  <a:rPr lang="en-US"/>
                  <a:t>Grams</a:t>
                </a:r>
              </a:p>
            </c:rich>
          </c:tx>
          <c:layout/>
        </c:title>
        <c:numFmt formatCode="General" sourceLinked="1"/>
        <c:majorTickMark val="none"/>
        <c:tickLblPos val="nextTo"/>
        <c:crossAx val="1964825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Exp2b, &lt;6.35mm</a:t>
            </a:r>
            <a:r>
              <a:rPr lang="en-US" baseline="0"/>
              <a:t> </a:t>
            </a:r>
            <a:endParaRPr lang="en-US"/>
          </a:p>
        </c:rich>
      </c:tx>
      <c:layout/>
    </c:title>
    <c:plotArea>
      <c:layout/>
      <c:barChart>
        <c:barDir val="col"/>
        <c:grouping val="clustered"/>
        <c:ser>
          <c:idx val="0"/>
          <c:order val="0"/>
          <c:tx>
            <c:strRef>
              <c:f>Charts!$R$1:$U$1</c:f>
              <c:strCache>
                <c:ptCount val="1"/>
                <c:pt idx="0">
                  <c:v>R2 EXP2 RR R3 EXP2 RR R4 EXP2 RR R5 EXP2 RR</c:v>
                </c:pt>
              </c:strCache>
            </c:strRef>
          </c:tx>
          <c:spPr>
            <a:solidFill>
              <a:srgbClr val="C00000"/>
            </a:solidFill>
          </c:spPr>
          <c:cat>
            <c:numRef>
              <c:f>Charts!$R$6:$U$6</c:f>
              <c:numCache>
                <c:formatCode>General</c:formatCode>
                <c:ptCount val="4"/>
                <c:pt idx="0">
                  <c:v>2</c:v>
                </c:pt>
                <c:pt idx="1">
                  <c:v>3</c:v>
                </c:pt>
                <c:pt idx="2">
                  <c:v>4</c:v>
                </c:pt>
                <c:pt idx="3">
                  <c:v>5</c:v>
                </c:pt>
              </c:numCache>
            </c:numRef>
          </c:cat>
          <c:val>
            <c:numRef>
              <c:f>Charts!$R$22:$U$22</c:f>
              <c:numCache>
                <c:formatCode>0%</c:formatCode>
                <c:ptCount val="4"/>
                <c:pt idx="0">
                  <c:v>4.1342474305467267E-2</c:v>
                </c:pt>
                <c:pt idx="1">
                  <c:v>9.4738589860040873E-3</c:v>
                </c:pt>
                <c:pt idx="2">
                  <c:v>6.1511056511056497E-2</c:v>
                </c:pt>
                <c:pt idx="3">
                  <c:v>6.2468808199335403E-2</c:v>
                </c:pt>
              </c:numCache>
            </c:numRef>
          </c:val>
        </c:ser>
        <c:axId val="196524672"/>
        <c:axId val="196538752"/>
      </c:barChart>
      <c:catAx>
        <c:axId val="196524672"/>
        <c:scaling>
          <c:orientation val="minMax"/>
        </c:scaling>
        <c:axPos val="b"/>
        <c:numFmt formatCode="General" sourceLinked="1"/>
        <c:majorTickMark val="none"/>
        <c:tickLblPos val="nextTo"/>
        <c:crossAx val="196538752"/>
        <c:crosses val="autoZero"/>
        <c:auto val="1"/>
        <c:lblAlgn val="ctr"/>
        <c:lblOffset val="100"/>
      </c:catAx>
      <c:valAx>
        <c:axId val="196538752"/>
        <c:scaling>
          <c:orientation val="minMax"/>
          <c:max val="0.1"/>
        </c:scaling>
        <c:axPos val="l"/>
        <c:majorGridlines/>
        <c:title>
          <c:tx>
            <c:rich>
              <a:bodyPr/>
              <a:lstStyle/>
              <a:p>
                <a:pPr>
                  <a:defRPr/>
                </a:pPr>
                <a:r>
                  <a:rPr lang="en-US"/>
                  <a:t>Percent</a:t>
                </a:r>
                <a:r>
                  <a:rPr lang="en-US" baseline="0"/>
                  <a:t> of Sample</a:t>
                </a:r>
                <a:endParaRPr lang="en-US"/>
              </a:p>
            </c:rich>
          </c:tx>
          <c:layout/>
        </c:title>
        <c:numFmt formatCode="0%" sourceLinked="1"/>
        <c:majorTickMark val="none"/>
        <c:tickLblPos val="nextTo"/>
        <c:crossAx val="19652467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Exp2b</a:t>
            </a:r>
            <a:r>
              <a:rPr lang="en-US" baseline="0"/>
              <a:t> </a:t>
            </a:r>
            <a:endParaRPr lang="en-US"/>
          </a:p>
        </c:rich>
      </c:tx>
      <c:layout/>
    </c:title>
    <c:plotArea>
      <c:layout/>
      <c:barChart>
        <c:barDir val="col"/>
        <c:grouping val="clustered"/>
        <c:ser>
          <c:idx val="0"/>
          <c:order val="0"/>
          <c:tx>
            <c:strRef>
              <c:f>Charts!$R$1:$U$1</c:f>
              <c:strCache>
                <c:ptCount val="1"/>
                <c:pt idx="0">
                  <c:v>R2 EXP2 RR R3 EXP2 RR R4 EXP2 RR R5 EXP2 RR</c:v>
                </c:pt>
              </c:strCache>
            </c:strRef>
          </c:tx>
          <c:spPr>
            <a:solidFill>
              <a:srgbClr val="00B050"/>
            </a:solidFill>
          </c:spPr>
          <c:cat>
            <c:numRef>
              <c:f>Charts!$R$6:$U$6</c:f>
              <c:numCache>
                <c:formatCode>General</c:formatCode>
                <c:ptCount val="4"/>
                <c:pt idx="0">
                  <c:v>2</c:v>
                </c:pt>
                <c:pt idx="1">
                  <c:v>3</c:v>
                </c:pt>
                <c:pt idx="2">
                  <c:v>4</c:v>
                </c:pt>
                <c:pt idx="3">
                  <c:v>5</c:v>
                </c:pt>
              </c:numCache>
            </c:numRef>
          </c:cat>
          <c:val>
            <c:numRef>
              <c:f>Charts!$R$25:$U$25</c:f>
              <c:numCache>
                <c:formatCode>0%</c:formatCode>
                <c:ptCount val="4"/>
                <c:pt idx="0">
                  <c:v>4.4010654982169932E-2</c:v>
                </c:pt>
                <c:pt idx="1">
                  <c:v>0.16342245006273878</c:v>
                </c:pt>
                <c:pt idx="2">
                  <c:v>3.4015776602964662E-2</c:v>
                </c:pt>
                <c:pt idx="3">
                  <c:v>4.1784101345350717E-2</c:v>
                </c:pt>
              </c:numCache>
            </c:numRef>
          </c:val>
        </c:ser>
        <c:axId val="196829184"/>
        <c:axId val="196830720"/>
      </c:barChart>
      <c:catAx>
        <c:axId val="196829184"/>
        <c:scaling>
          <c:orientation val="minMax"/>
        </c:scaling>
        <c:axPos val="b"/>
        <c:numFmt formatCode="General" sourceLinked="1"/>
        <c:majorTickMark val="none"/>
        <c:tickLblPos val="nextTo"/>
        <c:crossAx val="196830720"/>
        <c:crosses val="autoZero"/>
        <c:auto val="1"/>
        <c:lblAlgn val="ctr"/>
        <c:lblOffset val="100"/>
      </c:catAx>
      <c:valAx>
        <c:axId val="196830720"/>
        <c:scaling>
          <c:orientation val="minMax"/>
          <c:max val="0.25"/>
        </c:scaling>
        <c:axPos val="l"/>
        <c:majorGridlines/>
        <c:title>
          <c:tx>
            <c:rich>
              <a:bodyPr/>
              <a:lstStyle/>
              <a:p>
                <a:pPr>
                  <a:defRPr/>
                </a:pPr>
                <a:r>
                  <a:rPr lang="en-US" baseline="0"/>
                  <a:t>Bedload Captured</a:t>
                </a:r>
                <a:endParaRPr lang="en-US"/>
              </a:p>
            </c:rich>
          </c:tx>
          <c:layout/>
        </c:title>
        <c:numFmt formatCode="0%" sourceLinked="1"/>
        <c:majorTickMark val="none"/>
        <c:tickLblPos val="nextTo"/>
        <c:crossAx val="19682918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Exp3a, &lt;6.35mm</a:t>
            </a:r>
            <a:r>
              <a:rPr lang="en-US" baseline="0"/>
              <a:t> </a:t>
            </a:r>
            <a:endParaRPr lang="en-US"/>
          </a:p>
        </c:rich>
      </c:tx>
      <c:layout/>
    </c:title>
    <c:plotArea>
      <c:layout/>
      <c:barChart>
        <c:barDir val="col"/>
        <c:grouping val="clustered"/>
        <c:ser>
          <c:idx val="0"/>
          <c:order val="0"/>
          <c:tx>
            <c:strRef>
              <c:f>Charts!$W$1:$AA$1</c:f>
              <c:strCache>
                <c:ptCount val="1"/>
                <c:pt idx="0">
                  <c:v>R1 EXP3 RL R2 EXP3 RL R3 EXP3 RL R4 EXP3 RL R5 EXP3 RL</c:v>
                </c:pt>
              </c:strCache>
            </c:strRef>
          </c:tx>
          <c:val>
            <c:numRef>
              <c:f>Charts!$W$19:$AA$19</c:f>
              <c:numCache>
                <c:formatCode>General</c:formatCode>
                <c:ptCount val="5"/>
                <c:pt idx="0">
                  <c:v>204.3</c:v>
                </c:pt>
                <c:pt idx="1">
                  <c:v>210.9</c:v>
                </c:pt>
                <c:pt idx="2">
                  <c:v>154.60000000000002</c:v>
                </c:pt>
                <c:pt idx="3">
                  <c:v>883.09999999999991</c:v>
                </c:pt>
                <c:pt idx="4">
                  <c:v>173.3</c:v>
                </c:pt>
              </c:numCache>
            </c:numRef>
          </c:val>
        </c:ser>
        <c:axId val="196854912"/>
        <c:axId val="196856448"/>
      </c:barChart>
      <c:catAx>
        <c:axId val="196854912"/>
        <c:scaling>
          <c:orientation val="minMax"/>
        </c:scaling>
        <c:axPos val="b"/>
        <c:majorTickMark val="none"/>
        <c:tickLblPos val="nextTo"/>
        <c:crossAx val="196856448"/>
        <c:crosses val="autoZero"/>
        <c:auto val="1"/>
        <c:lblAlgn val="ctr"/>
        <c:lblOffset val="100"/>
      </c:catAx>
      <c:valAx>
        <c:axId val="196856448"/>
        <c:scaling>
          <c:orientation val="minMax"/>
          <c:max val="2500"/>
        </c:scaling>
        <c:axPos val="l"/>
        <c:majorGridlines/>
        <c:title>
          <c:tx>
            <c:rich>
              <a:bodyPr/>
              <a:lstStyle/>
              <a:p>
                <a:pPr>
                  <a:defRPr/>
                </a:pPr>
                <a:r>
                  <a:rPr lang="en-US"/>
                  <a:t>Grams</a:t>
                </a:r>
              </a:p>
            </c:rich>
          </c:tx>
          <c:layout/>
        </c:title>
        <c:numFmt formatCode="General" sourceLinked="1"/>
        <c:majorTickMark val="none"/>
        <c:tickLblPos val="nextTo"/>
        <c:crossAx val="19685491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Exp3a, &lt;6.35mm</a:t>
            </a:r>
            <a:r>
              <a:rPr lang="en-US" baseline="0"/>
              <a:t> </a:t>
            </a:r>
            <a:endParaRPr lang="en-US"/>
          </a:p>
        </c:rich>
      </c:tx>
      <c:layout/>
    </c:title>
    <c:plotArea>
      <c:layout/>
      <c:barChart>
        <c:barDir val="col"/>
        <c:grouping val="clustered"/>
        <c:ser>
          <c:idx val="0"/>
          <c:order val="0"/>
          <c:tx>
            <c:strRef>
              <c:f>Charts!$W$1:$AA$1</c:f>
              <c:strCache>
                <c:ptCount val="1"/>
                <c:pt idx="0">
                  <c:v>R1 EXP3 RL R2 EXP3 RL R3 EXP3 RL R4 EXP3 RL R5 EXP3 RL</c:v>
                </c:pt>
              </c:strCache>
            </c:strRef>
          </c:tx>
          <c:spPr>
            <a:solidFill>
              <a:srgbClr val="C00000"/>
            </a:solidFill>
          </c:spPr>
          <c:val>
            <c:numRef>
              <c:f>Charts!$W$22:$AA$22</c:f>
              <c:numCache>
                <c:formatCode>0%</c:formatCode>
                <c:ptCount val="5"/>
                <c:pt idx="0">
                  <c:v>1.4366098538919261E-2</c:v>
                </c:pt>
                <c:pt idx="1">
                  <c:v>9.9677666342127477E-3</c:v>
                </c:pt>
                <c:pt idx="2">
                  <c:v>9.3333252838936759E-3</c:v>
                </c:pt>
                <c:pt idx="3">
                  <c:v>7.2670567227063609E-2</c:v>
                </c:pt>
                <c:pt idx="4">
                  <c:v>1.7518144875967895E-2</c:v>
                </c:pt>
              </c:numCache>
            </c:numRef>
          </c:val>
        </c:ser>
        <c:axId val="196864640"/>
        <c:axId val="196894720"/>
      </c:barChart>
      <c:catAx>
        <c:axId val="196864640"/>
        <c:scaling>
          <c:orientation val="minMax"/>
        </c:scaling>
        <c:axPos val="b"/>
        <c:numFmt formatCode="General" sourceLinked="1"/>
        <c:majorTickMark val="none"/>
        <c:tickLblPos val="nextTo"/>
        <c:crossAx val="196894720"/>
        <c:crosses val="autoZero"/>
        <c:auto val="1"/>
        <c:lblAlgn val="ctr"/>
        <c:lblOffset val="100"/>
      </c:catAx>
      <c:valAx>
        <c:axId val="196894720"/>
        <c:scaling>
          <c:orientation val="minMax"/>
          <c:max val="0.1"/>
        </c:scaling>
        <c:axPos val="l"/>
        <c:majorGridlines/>
        <c:title>
          <c:tx>
            <c:rich>
              <a:bodyPr/>
              <a:lstStyle/>
              <a:p>
                <a:pPr>
                  <a:defRPr/>
                </a:pPr>
                <a:r>
                  <a:rPr lang="en-US"/>
                  <a:t>Percent</a:t>
                </a:r>
                <a:r>
                  <a:rPr lang="en-US" baseline="0"/>
                  <a:t> of Sample</a:t>
                </a:r>
                <a:endParaRPr lang="en-US"/>
              </a:p>
            </c:rich>
          </c:tx>
          <c:layout/>
        </c:title>
        <c:numFmt formatCode="0%" sourceLinked="1"/>
        <c:majorTickMark val="none"/>
        <c:tickLblPos val="nextTo"/>
        <c:crossAx val="1968646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Water Resources</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mmeyers</dc:creator>
  <cp:lastModifiedBy>dencinas</cp:lastModifiedBy>
  <cp:revision>3</cp:revision>
  <dcterms:created xsi:type="dcterms:W3CDTF">2013-02-01T19:19:00Z</dcterms:created>
  <dcterms:modified xsi:type="dcterms:W3CDTF">2013-02-01T19:19:00Z</dcterms:modified>
</cp:coreProperties>
</file>